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DBDC">
      <w:pPr>
        <w:pStyle w:val="31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</w:t>
      </w:r>
    </w:p>
    <w:p w14:paraId="6E5A4D3A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2"/>
        </w:rPr>
        <w:t>当前方案已基于《高等代数》教材的局部章节完成初步工程验证，并导入 Neo4j 进行可视化检查。材料中重点整理了目前的建设定位、抽取流程、关键规则、应用场景，以及我希望请老师帮忙把关的几个问题</w:t>
      </w:r>
      <w:r>
        <w:rPr>
          <w:rFonts w:hint="eastAsia"/>
          <w:b w:val="0"/>
          <w:i w:val="0"/>
          <w:sz w:val="22"/>
          <w:lang w:eastAsia="zh-CN"/>
        </w:rPr>
        <w:t>。</w:t>
      </w:r>
    </w:p>
    <w:p w14:paraId="7D92F185">
      <w:pPr>
        <w:pStyle w:val="3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 w14:paraId="5A759AB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</w:t>
      </w:r>
      <w:r>
        <w:rPr>
          <w:rFonts w:hint="eastAsia"/>
          <w:b w:val="0"/>
          <w:i w:val="0"/>
          <w:sz w:val="22"/>
          <w:lang w:eastAsia="zh-CN"/>
        </w:rPr>
        <w:t>不只是</w:t>
      </w:r>
      <w:r>
        <w:rPr>
          <w:rFonts w:ascii="宋体" w:hAnsi="宋体" w:eastAsia="宋体"/>
          <w:b w:val="0"/>
          <w:i w:val="0"/>
          <w:sz w:val="22"/>
        </w:rPr>
        <w:t>展示型知识网络，</w:t>
      </w:r>
      <w:r>
        <w:rPr>
          <w:rFonts w:hint="eastAsia"/>
          <w:b w:val="0"/>
          <w:i w:val="0"/>
          <w:sz w:val="22"/>
          <w:lang w:eastAsia="zh-CN"/>
        </w:rPr>
        <w:t>更</w:t>
      </w:r>
      <w:r>
        <w:rPr>
          <w:rFonts w:ascii="宋体" w:hAnsi="宋体" w:eastAsia="宋体"/>
          <w:b w:val="0"/>
          <w:i w:val="0"/>
          <w:sz w:val="22"/>
        </w:rPr>
        <w:t>是面向智能学习服务的底层结构化支撑。其核心任务是把教材中的概念、定义、定理、公式、方法、题型及其相互关系组织成可计算、可追溯、可用于教学决策的数据结构。</w:t>
      </w:r>
    </w:p>
    <w:p w14:paraId="1FBC094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 w14:paraId="7F4FA8C3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1.</w:t>
      </w: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 w14:paraId="0CBFE6DD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2.</w:t>
      </w: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 w14:paraId="2007728B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3.</w:t>
      </w: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 w14:paraId="441D5AA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目前设计时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 w14:paraId="6BCD6AA7">
      <w:pPr>
        <w:jc w:val="center"/>
      </w:pPr>
      <w:r>
        <w:drawing>
          <wp:inline distT="0" distB="0" distL="114300" distR="114300">
            <wp:extent cx="5989320" cy="24326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DDD"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 w14:paraId="6A74864A">
      <w:pPr>
        <w:pStyle w:val="3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 w14:paraId="3E05E2F2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目前采用“LLM 辅助生成候选项，自动校验程序进行质量控制，人工复核处理不确定样本”的总体路线。这样设计主要基于以下考虑：</w:t>
      </w:r>
    </w:p>
    <w:p w14:paraId="17504E5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 w14:paraId="2DC0E4B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 w14:paraId="4F593EE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 w14:paraId="1F137A3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在这个思路下，LLM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 w14:paraId="0636F09D">
      <w:pPr>
        <w:jc w:val="center"/>
      </w:pPr>
      <w:r>
        <w:drawing>
          <wp:inline distT="0" distB="0" distL="114300" distR="114300">
            <wp:extent cx="5989320" cy="33686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7F58"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 w14:paraId="18730872">
      <w:pPr>
        <w:pStyle w:val="3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 w14:paraId="2EB8A5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在工程实现上，目前并不把“抽取”理解为一次性生成最终结果，而是拆分为“候选生成”和“准入控制”两个阶段。</w:t>
      </w:r>
    </w:p>
    <w:p w14:paraId="31CD2581">
      <w:pPr>
        <w:pStyle w:val="4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 w14:paraId="39AB1C3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7ADD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21C8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w="4824" w:type="dxa"/>
            <w:vAlign w:val="center"/>
          </w:tcPr>
          <w:p w14:paraId="763B2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84C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2B57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w="4824" w:type="dxa"/>
            <w:vAlign w:val="center"/>
          </w:tcPr>
          <w:p w14:paraId="2072CE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 w14:paraId="07BB7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C704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w="4824" w:type="dxa"/>
            <w:vAlign w:val="center"/>
          </w:tcPr>
          <w:p w14:paraId="763910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 w14:paraId="3573F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3A7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w="4824" w:type="dxa"/>
            <w:vAlign w:val="center"/>
          </w:tcPr>
          <w:p w14:paraId="0AB00C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 w14:paraId="0D529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BC14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w="4824" w:type="dxa"/>
            <w:vAlign w:val="center"/>
          </w:tcPr>
          <w:p w14:paraId="18596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 w14:paraId="54776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3F1F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w="4824" w:type="dxa"/>
            <w:vAlign w:val="center"/>
          </w:tcPr>
          <w:p w14:paraId="5D900B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 w14:paraId="157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031B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w="4824" w:type="dxa"/>
            <w:vAlign w:val="center"/>
          </w:tcPr>
          <w:p w14:paraId="611061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 w14:paraId="387AB292"/>
    <w:p w14:paraId="6B2FBB1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319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56060F50"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 w14:paraId="4A18177F"/>
    <w:p w14:paraId="775921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 w14:paraId="2074FC9C">
      <w:pPr>
        <w:pStyle w:val="4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 w14:paraId="15F178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 w14:paraId="7B53354E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1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 w14:paraId="6759A524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2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 w14:paraId="14979E59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3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 w14:paraId="7D397AF5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4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 w14:paraId="236D29EC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5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 w14:paraId="540B67C6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6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 w14:paraId="3282D61A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7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 w14:paraId="30D0F957">
      <w:pPr>
        <w:jc w:val="center"/>
      </w:pPr>
      <w:r>
        <w:drawing>
          <wp:inline distT="0" distB="0" distL="114300" distR="114300">
            <wp:extent cx="5989320" cy="3106420"/>
            <wp:effectExtent l="0" t="0" r="1143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7E0"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 w14:paraId="4DD26009">
      <w:pPr>
        <w:pStyle w:val="3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 w14:paraId="20BF919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当前流程分为六个步骤。</w:t>
      </w:r>
    </w:p>
    <w:p w14:paraId="52212615">
      <w:pPr>
        <w:jc w:val="center"/>
      </w:pPr>
      <w:r>
        <w:drawing>
          <wp:inline distT="0" distB="0" distL="114300" distR="114300">
            <wp:extent cx="5989320" cy="267716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6F8"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 w14:paraId="56712A19">
      <w:pPr>
        <w:pStyle w:val="4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 w14:paraId="4FCF40B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 w14:paraId="151BD92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 w14:paraId="5EDB143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 w14:paraId="6C6039C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 w14:paraId="53CADE06">
      <w:pPr>
        <w:pStyle w:val="4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 w14:paraId="2A2DEC5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 w14:paraId="20E805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 w14:paraId="5C4AA9A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 w14:paraId="4CC13CB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 w14:paraId="1A8F3BE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 w14:paraId="0BEDB95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 w14:paraId="3E38C4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 w14:paraId="5051C1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 w14:paraId="3C20E2F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 w14:paraId="5BB9DAC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 w14:paraId="4BA39791">
      <w:pPr>
        <w:pStyle w:val="4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 w14:paraId="500E3C8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 w14:paraId="6615881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 w14:paraId="61C8798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 w14:paraId="2A9D721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 w14:paraId="4CF2ED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 w14:paraId="357B2E46">
      <w:pPr>
        <w:pStyle w:val="4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 w14:paraId="191F20A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 w14:paraId="185CB9A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 w14:paraId="2EEB792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 w14:paraId="7472EBC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 w14:paraId="15277F7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 w14:paraId="5546E900">
      <w:pPr>
        <w:pStyle w:val="4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 w14:paraId="7B11B72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 w14:paraId="64AE9D3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 w14:paraId="37A3A4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 w14:paraId="67F64B3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 w14:paraId="359E45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 w14:paraId="79D519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 w14:paraId="7A41D6D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 w14:paraId="0FE54F32">
      <w:pPr>
        <w:pStyle w:val="4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 w14:paraId="76F06DD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 w14:paraId="37322C39">
      <w:pPr>
        <w:pStyle w:val="3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 w14:paraId="6A9D603D">
      <w:pPr>
        <w:pStyle w:val="4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 w14:paraId="28656A6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 w14:paraId="799A33A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 w14:paraId="04C7ADB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 w14:paraId="60A319C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 w14:paraId="3643C7B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D663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299A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w="4824" w:type="dxa"/>
            <w:vAlign w:val="center"/>
          </w:tcPr>
          <w:p w14:paraId="35E11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 w14:paraId="5D3D0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597C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w="4824" w:type="dxa"/>
            <w:vAlign w:val="center"/>
          </w:tcPr>
          <w:p w14:paraId="5EF06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 w14:paraId="74E42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8684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w="4824" w:type="dxa"/>
            <w:vAlign w:val="center"/>
          </w:tcPr>
          <w:p w14:paraId="1619B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 w14:paraId="3B1EF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0E4C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w="4824" w:type="dxa"/>
            <w:vAlign w:val="center"/>
          </w:tcPr>
          <w:p w14:paraId="4104F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 w14:paraId="6F566563"/>
    <w:p w14:paraId="4AAF3BE5">
      <w:pPr>
        <w:pStyle w:val="4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 w14:paraId="5CC8E9C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 w14:paraId="593AA38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D64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F173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w="4824" w:type="dxa"/>
            <w:vAlign w:val="center"/>
          </w:tcPr>
          <w:p w14:paraId="55EC6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 w14:paraId="643E7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F334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w="4824" w:type="dxa"/>
            <w:vAlign w:val="center"/>
          </w:tcPr>
          <w:p w14:paraId="180F7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 w14:paraId="31D3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16B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w="4824" w:type="dxa"/>
            <w:vAlign w:val="center"/>
          </w:tcPr>
          <w:p w14:paraId="5DCF48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 w14:paraId="7DF26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78B7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w="4824" w:type="dxa"/>
            <w:vAlign w:val="center"/>
          </w:tcPr>
          <w:p w14:paraId="546EC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 w14:paraId="692C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92DF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w="4824" w:type="dxa"/>
            <w:vAlign w:val="center"/>
          </w:tcPr>
          <w:p w14:paraId="46DD6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 w14:paraId="0BBBAD4C"/>
    <w:p w14:paraId="07EDFC8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 w14:paraId="3A769917">
      <w:pPr>
        <w:pStyle w:val="4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 w14:paraId="101947D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早期方案曾完全跳过典型例题，以降低“例题答案被误抽为定理”的风险。但智学助手需要支持按知识点推荐例题、方法和题型，因此对典型例题采用有限抽取策略：</w:t>
      </w:r>
    </w:p>
    <w:p w14:paraId="7D1912D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 w14:paraId="0B8FC8D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 w14:paraId="3E6ECC3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 w14:paraId="4329FF0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 w14:paraId="7A97ABB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 w14:paraId="0C4F4149">
      <w:pPr>
        <w:pStyle w:val="4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 w14:paraId="43C39C8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为适配不同教学应用，目前将关系分为三层：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2043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AAD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w="2412" w:type="dxa"/>
            <w:vAlign w:val="center"/>
          </w:tcPr>
          <w:p w14:paraId="1181C5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w="2412" w:type="dxa"/>
            <w:vAlign w:val="center"/>
          </w:tcPr>
          <w:p w14:paraId="0DAF8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w="2412" w:type="dxa"/>
            <w:vAlign w:val="center"/>
          </w:tcPr>
          <w:p w14:paraId="32E99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 w14:paraId="7397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59D5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w="2412" w:type="dxa"/>
            <w:vAlign w:val="center"/>
          </w:tcPr>
          <w:p w14:paraId="0BFCE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w="2412" w:type="dxa"/>
            <w:vAlign w:val="center"/>
          </w:tcPr>
          <w:p w14:paraId="743DD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w="2412" w:type="dxa"/>
            <w:vAlign w:val="center"/>
          </w:tcPr>
          <w:p w14:paraId="55F71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 w14:paraId="01435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73DA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w="2412" w:type="dxa"/>
            <w:vAlign w:val="center"/>
          </w:tcPr>
          <w:p w14:paraId="5E9D6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w="2412" w:type="dxa"/>
            <w:vAlign w:val="center"/>
          </w:tcPr>
          <w:p w14:paraId="6D70E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w="2412" w:type="dxa"/>
            <w:vAlign w:val="center"/>
          </w:tcPr>
          <w:p w14:paraId="6BB03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 w14:paraId="55F3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839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w="2412" w:type="dxa"/>
            <w:vAlign w:val="center"/>
          </w:tcPr>
          <w:p w14:paraId="644C6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w="2412" w:type="dxa"/>
            <w:vAlign w:val="center"/>
          </w:tcPr>
          <w:p w14:paraId="36D9C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w="2412" w:type="dxa"/>
            <w:vAlign w:val="center"/>
          </w:tcPr>
          <w:p w14:paraId="70E9E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 w14:paraId="42DB9D52"/>
    <w:p w14:paraId="2FA25AB4">
      <w:pPr>
        <w:jc w:val="center"/>
      </w:pPr>
      <w:r>
        <w:drawing>
          <wp:inline distT="0" distB="0" distL="114300" distR="114300">
            <wp:extent cx="5989320" cy="36683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C81"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 w14:paraId="275EB70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 w14:paraId="1F371864">
      <w:pPr>
        <w:pStyle w:val="4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 w14:paraId="27A2983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 w14:paraId="6483F1F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 w14:paraId="5B60CD7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 w14:paraId="0373034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 w14:paraId="1CEA5A4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 w14:paraId="4C87993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 w14:paraId="4FE08C6B">
      <w:pPr>
        <w:pStyle w:val="3"/>
      </w:pPr>
      <w:r>
        <w:rPr>
          <w:rFonts w:ascii="黑体" w:hAnsi="黑体" w:eastAsia="黑体"/>
          <w:b/>
          <w:i w:val="0"/>
          <w:sz w:val="30"/>
        </w:rPr>
        <w:t>六、当前验证情况与需要注意的问题</w:t>
      </w:r>
    </w:p>
    <w:p w14:paraId="4DED4B0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进行可视化检查。正文中暂不列出具体数量统计；如老师需要，可另行提供内部实验记录。</w:t>
      </w:r>
    </w:p>
    <w:p w14:paraId="511E8A7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目前已经重点检查了以下方面：</w:t>
      </w:r>
    </w:p>
    <w:p w14:paraId="03AB78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 w14:paraId="6A1255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 w14:paraId="377F737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 w14:paraId="35D6929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 w14:paraId="4D70EBE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 w14:paraId="0E4926F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 w14:paraId="5848CEF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当前仍有一些地方需要继续讨论和完善：</w:t>
      </w:r>
    </w:p>
    <w:p w14:paraId="05F64B0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 w14:paraId="7F71589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 w14:paraId="5102957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证明追踪层可能出现粒度偏细的问题，需要进一步判断哪些证明依赖具有保留价值。</w:t>
      </w:r>
    </w:p>
    <w:p w14:paraId="36FBDE8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 w14:paraId="36F8367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 w14:paraId="259BA351">
      <w:pPr>
        <w:pStyle w:val="3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 w14:paraId="52F7F90A">
      <w:pPr>
        <w:pStyle w:val="4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 w14:paraId="7F1B87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 w14:paraId="3186F3D6">
      <w:pPr>
        <w:jc w:val="center"/>
      </w:pPr>
      <w:r>
        <w:drawing>
          <wp:inline distT="0" distB="0" distL="114300" distR="114300">
            <wp:extent cx="5989320" cy="1946275"/>
            <wp:effectExtent l="0" t="0" r="1143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D57"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 w14:paraId="75E8E264">
      <w:pPr>
        <w:pStyle w:val="4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 w14:paraId="5F30A52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 w14:paraId="4571ACB5">
      <w:pPr>
        <w:pStyle w:val="4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 w14:paraId="35324D3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 w14:paraId="50B77B9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 w14:paraId="6BBB765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 w14:paraId="6541C6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 w14:paraId="755FB679">
      <w:pPr>
        <w:jc w:val="center"/>
      </w:pPr>
      <w:r>
        <w:drawing>
          <wp:inline distT="0" distB="0" distL="114300" distR="114300">
            <wp:extent cx="5989320" cy="22358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3A2"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 w14:paraId="7D34330A">
      <w:pPr>
        <w:pStyle w:val="4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 w14:paraId="0054B5D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 w14:paraId="001DBC9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 w14:paraId="4EA584F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 w14:paraId="6498215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 w14:paraId="1727E1E2">
      <w:pPr>
        <w:pStyle w:val="3"/>
        <w:spacing w:after="120" w:line="300" w:lineRule="auto"/>
      </w:pPr>
      <w:r>
        <w:rPr>
          <w:rFonts w:ascii="宋体" w:hAnsi="宋体" w:eastAsia="宋体"/>
          <w:b/>
          <w:color w:val="000000"/>
          <w:sz w:val="30"/>
        </w:rPr>
        <w:t>八、想请老师重点帮忙看的问题</w:t>
      </w:r>
    </w:p>
    <w:p w14:paraId="30811262">
      <w:r>
        <w:rPr>
          <w:rFonts w:ascii="宋体" w:hAnsi="宋体" w:eastAsia="宋体"/>
          <w:color w:val="000000"/>
        </w:rPr>
        <w:t>这份材料主要是想请老师提前了解我们当前的设计思路。我们目前有几个地方还拿不太准，希望老师重点帮忙判断。</w:t>
      </w:r>
    </w:p>
    <w:p w14:paraId="67B0E932">
      <w:pPr>
        <w:pStyle w:val="4"/>
      </w:pPr>
      <w:r>
        <w:rPr>
          <w:rFonts w:ascii="宋体" w:hAnsi="宋体" w:eastAsia="宋体"/>
          <w:color w:val="000000"/>
        </w:rPr>
        <w:t>1. 数学教材知识图谱里，哪些内容应该作为节点？</w:t>
      </w:r>
    </w:p>
    <w:p w14:paraId="3163FF95">
      <w:r>
        <w:rPr>
          <w:rFonts w:ascii="宋体" w:hAnsi="宋体" w:eastAsia="宋体"/>
          <w:color w:val="000000"/>
        </w:rPr>
        <w:t>我们现在初步把教材中的概念、定义、定理、公式、方法、题型等都作为可能的节点类型。想请老师判断，这样的范围是否合适；如果由老师来设计数学教材知识图谱，会怎样划分这些知识类型。</w:t>
      </w:r>
    </w:p>
    <w:p w14:paraId="015B054F">
      <w:r>
        <w:rPr>
          <w:rFonts w:ascii="宋体" w:hAnsi="宋体" w:eastAsia="宋体"/>
          <w:color w:val="000000"/>
        </w:rPr>
        <w:t>这里最拿不准的是一些边界情况。例如“方法”和“题型”是否应该作为正式节点；“唯一解”“无解”“可逆”“线性相关”等状态或性质类内容，应该作为独立知识点，还是作为某个知识点的属性、状态或标签记录。</w:t>
      </w:r>
    </w:p>
    <w:p w14:paraId="2F9D1C55">
      <w:r>
        <w:rPr>
          <w:rFonts w:ascii="宋体" w:hAnsi="宋体" w:eastAsia="宋体"/>
          <w:color w:val="000000"/>
        </w:rPr>
        <w:t>典型例题也有类似问题。例题中常常体现方法和题型，但也可能出现只针对某一道题的临时结论。我们目前倾向于从例题中保留方法、题型和应用证据，但不把例题答案中的单题结论当作新的定理或定义。这个边界是否合理，也想请老师帮忙判断。</w:t>
      </w:r>
    </w:p>
    <w:p w14:paraId="792A59C9">
      <w:pPr>
        <w:pStyle w:val="4"/>
      </w:pPr>
      <w:r>
        <w:rPr>
          <w:rFonts w:ascii="宋体" w:hAnsi="宋体" w:eastAsia="宋体"/>
          <w:color w:val="000000"/>
        </w:rPr>
        <w:t>2. 节点之间应该设计哪些关系？</w:t>
      </w:r>
    </w:p>
    <w:p w14:paraId="53CCC8D4">
      <w:r>
        <w:rPr>
          <w:rFonts w:ascii="宋体" w:hAnsi="宋体" w:eastAsia="宋体"/>
          <w:color w:val="000000"/>
        </w:rPr>
        <w:t>我们目前设计的主要关系包括：前置依赖、推导来源、应用于、同义或等价、章节归属、例题关联。想请老师判断，这些关系类型是否足够支撑学习路径生成、知识点追溯和例题推荐。</w:t>
      </w:r>
    </w:p>
    <w:p w14:paraId="5F3ED280">
      <w:r>
        <w:rPr>
          <w:rFonts w:ascii="宋体" w:hAnsi="宋体" w:eastAsia="宋体"/>
          <w:color w:val="000000"/>
        </w:rPr>
        <w:t>同时也想请老师看这些关系的定义是否清楚。例如：“前置依赖”表示理解 B 通常需要先掌握 A；“推导来源”表示 B 的证明或结论由 A 推出；“应用于”表示某知识点、定理、公式或方法可用于解决某类题或某个例题。这样的区分是否符合数学教材知识结构和教学使用习惯。</w:t>
      </w:r>
    </w:p>
    <w:p w14:paraId="1C02CE15">
      <w:r>
        <w:rPr>
          <w:rFonts w:ascii="宋体" w:hAnsi="宋体" w:eastAsia="宋体"/>
          <w:color w:val="000000"/>
        </w:rPr>
        <w:t>关系方向也想请老师判断。当前约定为 A 指向 B 表示“B 依赖 A”或“B 由 A 推出”，也就是从基础知识指向后续知识。这个方向设计是否适合后续做学习路径和知识追溯。</w:t>
      </w:r>
    </w:p>
    <w:p w14:paraId="56E33C56">
      <w:pPr>
        <w:pStyle w:val="4"/>
      </w:pPr>
      <w:r>
        <w:rPr>
          <w:rFonts w:ascii="宋体" w:hAnsi="宋体" w:eastAsia="宋体"/>
          <w:color w:val="000000"/>
        </w:rPr>
        <w:t>3. 如果用 LLM 辅助自动抽取，最容易出错的地方在哪里？</w:t>
      </w:r>
    </w:p>
    <w:p w14:paraId="0C13839F">
      <w:r>
        <w:rPr>
          <w:rFonts w:ascii="宋体" w:hAnsi="宋体" w:eastAsia="宋体"/>
          <w:color w:val="000000"/>
        </w:rPr>
        <w:t>我们目前设想的工程流程是：先由 LLM 从教材中生成节点和关系候选，再通过规则校验、同义合并和人工审核进行把关。想请老师从知识图谱构建经验出发，判断这种方式最可能在哪些地方出错，例如知识点粒度过细、节点类型混淆、关系方向错误、同义合并不准确，或把例题中的临时结论误抽成正式知识点。</w:t>
      </w:r>
    </w:p>
    <w:p w14:paraId="057ACEE5">
      <w:pPr>
        <w:spacing w:after="120" w:line="300" w:lineRule="auto"/>
      </w:pPr>
      <w:bookmarkStart w:id="0" w:name="_GoBack"/>
      <w:bookmarkEnd w:id="0"/>
    </w:p>
    <w:sectPr>
      <w:pgSz w:w="12240" w:h="15840"/>
      <w:pgMar w:top="1181" w:right="1296" w:bottom="1181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C7601"/>
    <w:rsid w:val="11FE24B9"/>
    <w:rsid w:val="2AA52BE3"/>
    <w:rsid w:val="7801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3283</Words>
  <Characters>3329</Characters>
  <Lines>0</Lines>
  <Paragraphs>0</Paragraphs>
  <TotalTime>32</TotalTime>
  <ScaleCrop>false</ScaleCrop>
  <LinksUpToDate>false</LinksUpToDate>
  <CharactersWithSpaces>3372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2026-06-17T07:11:55Z</dcterms:modified>
  <dc:subject>教材知识图谱；导师交流稿</dc:subject>
  <dc:title>智学助手教材知识图谱设计说明（交流稿）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6D14B43854F048148990BAC45208C836_12</vt:lpwstr>
  </property>
</Properties>
</file>