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w:t>
      </w:r>
    </w:p>
    <w:p>
      <w:pPr>
        <w:spacing w:line="360" w:lineRule="auto" w:after="160"/>
      </w:pPr>
      <w:r>
        <w:t>一、单项选择题</w:t>
      </w:r>
    </w:p>
    <w:p>
      <w:pPr>
        <w:spacing w:line="360" w:lineRule="auto" w:after="40"/>
      </w:pPr>
      <w:r>
        <w:t>1. 逃税是: ( )</w:t>
      </w:r>
    </w:p>
    <w:p>
      <w:pPr>
        <w:spacing w:line="360" w:lineRule="auto" w:after="20"/>
        <w:ind w:firstLine="283"/>
      </w:pPr>
      <w:r>
        <w:t>A. 利用税收法律的漏洞或对税法的非预期来尽量减少应缴税款的行为</w:t>
      </w:r>
    </w:p>
    <w:p>
      <w:pPr>
        <w:spacing w:line="360" w:lineRule="auto" w:after="20"/>
        <w:ind w:firstLine="283"/>
      </w:pPr>
      <w:r>
        <w:t>B. 作为分项扣除或标准扣除而减少应纳税所得额的规定</w:t>
      </w:r>
    </w:p>
    <w:p>
      <w:pPr>
        <w:spacing w:line="360" w:lineRule="auto" w:after="20"/>
        <w:ind w:firstLine="283"/>
      </w:pPr>
      <w:r>
        <w:t>C. 一门专注于合法税务规划的专业会计学科</w:t>
      </w:r>
    </w:p>
    <w:p>
      <w:pPr>
        <w:spacing w:line="360" w:lineRule="auto" w:after="20"/>
        <w:ind w:firstLine="283"/>
      </w:pPr>
      <w:r>
        <w:t>D. 通常指故意向税务机关作虚假申报或不申报从而不缴税或少缴税的行为</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区分逃税（非法手段）与避税（合法规划）的定义边界</w:t>
      </w:r>
    </w:p>
    <w:p>
      <w:pPr>
        <w:spacing w:before="120" w:after="40"/>
      </w:pPr>
      <w:r>
        <w:rPr>
          <w:b/>
          <w:sz w:val="21"/>
          <w:shd w:fill="D6E4F0" w:val="clear"/>
        </w:rPr>
        <w:t>核心解析</w:t>
      </w:r>
    </w:p>
    <w:p>
      <w:pPr>
        <w:spacing w:line="360" w:lineRule="auto" w:after="40"/>
        <w:ind w:firstLine="420"/>
      </w:pPr>
      <w:r>
        <w:t>逃税指使用非法手段逃避纳税义务</w:t>
      </w:r>
      <w:r>
        <w:rPr>
          <w:sz w:val="15"/>
          <w:vertAlign w:val="superscript"/>
        </w:rPr>
        <w:t>P28</w:t>
      </w:r>
      <w:r>
        <w:t>，典型行为包括不申报应税收入或隐藏应税资产</w:t>
      </w:r>
      <w:r>
        <w:rPr>
          <w:sz w:val="15"/>
          <w:vertAlign w:val="superscript"/>
        </w:rPr>
        <w:t>P28</w:t>
      </w:r>
      <w:r>
        <w:t>，以及伪造记录或隐瞒收入</w:t>
      </w:r>
      <w:r>
        <w:rPr>
          <w:sz w:val="15"/>
          <w:vertAlign w:val="superscript"/>
        </w:rPr>
        <w:t>P123</w:t>
      </w:r>
      <w:r>
        <w:t>。选项D中“故意作虚假申报或不申报”直接对应教材给出的“不申报应税收入”示例和“非法手段”这一核心特征——虚假申报与不申报本质上是蓄意欺骗税务机关的非法行为，因此D最准确匹配逃税的教材定义。</w:t>
      </w:r>
    </w:p>
    <w:p>
      <w:pPr>
        <w:spacing w:before="120" w:after="40"/>
      </w:pPr>
      <w:r>
        <w:rPr>
          <w:b/>
          <w:sz w:val="21"/>
          <w:shd w:fill="D6E4F0" w:val="clear"/>
        </w:rPr>
        <w:t>教材原句</w:t>
      </w:r>
    </w:p>
    <w:p>
      <w:pPr>
        <w:spacing w:line="360" w:lineRule="auto" w:after="40"/>
        <w:ind w:firstLine="420"/>
      </w:pPr>
      <w:r>
        <w:t>"Tax evasion is the use of illegal practices to avoid paying a tax liability."</w:t>
      </w:r>
    </w:p>
    <w:p>
      <w:pPr>
        <w:spacing w:before="120" w:after="40"/>
      </w:pPr>
      <w:r>
        <w:rPr>
          <w:b/>
          <w:sz w:val="21"/>
          <w:shd w:fill="D6E4F0" w:val="clear"/>
        </w:rPr>
        <w:t>A项错误</w:t>
      </w:r>
    </w:p>
    <w:p>
      <w:pPr>
        <w:spacing w:line="360" w:lineRule="auto" w:after="40"/>
        <w:ind w:firstLine="420"/>
      </w:pPr>
      <w:r>
        <w:t>利用法律漏洞减少税负属于避税（tax avoidance）的范畴——避税是合法减少税负的行为</w:t>
      </w:r>
      <w:r>
        <w:rPr>
          <w:sz w:val="15"/>
          <w:vertAlign w:val="superscript"/>
        </w:rPr>
        <w:t>P28</w:t>
      </w:r>
      <w:r>
        <w:t>。激进避税进一步指“激进地解释法律而不考虑其意图或精神”</w:t>
      </w:r>
      <w:r>
        <w:rPr>
          <w:sz w:val="15"/>
          <w:vertAlign w:val="superscript"/>
        </w:rPr>
        <w:t>P28</w:t>
      </w:r>
      <w:r>
        <w:t>，二者均停留在合法框架内。相比之下，D中的虚假申报/不申报属于非法手段，更直接吻合教材对逃税的定义。</w:t>
      </w:r>
    </w:p>
    <w:p>
      <w:pPr>
        <w:spacing w:before="120" w:after="40"/>
      </w:pPr>
      <w:r>
        <w:rPr>
          <w:b/>
          <w:sz w:val="21"/>
          <w:shd w:fill="D6E4F0" w:val="clear"/>
        </w:rPr>
        <w:t>B项错误</w:t>
      </w:r>
    </w:p>
    <w:p>
      <w:pPr>
        <w:spacing w:line="360" w:lineRule="auto" w:after="40"/>
        <w:ind w:firstLine="420"/>
      </w:pPr>
      <w:r>
        <w:t>选项B描述的是税法中的扣除机制（如分项扣除或标准扣除），属于税收制度本身的构成规则。题干问的是逃税这一行为概念的定义，扣除规定与逃税行为之间缺乏直接关联。</w:t>
      </w:r>
    </w:p>
    <w:p>
      <w:pPr>
        <w:spacing w:before="120" w:after="40"/>
      </w:pPr>
      <w:r>
        <w:rPr>
          <w:b/>
          <w:sz w:val="21"/>
          <w:shd w:fill="D6E4F0" w:val="clear"/>
        </w:rPr>
        <w:t>C项错误</w:t>
      </w:r>
    </w:p>
    <w:p>
      <w:pPr>
        <w:spacing w:line="360" w:lineRule="auto" w:after="40"/>
        <w:ind w:firstLine="420"/>
      </w:pPr>
      <w:r>
        <w:t>教材将避税等同于税务规划（tax planning），定义为合法减少税负</w:t>
      </w:r>
      <w:r>
        <w:rPr>
          <w:sz w:val="15"/>
          <w:vertAlign w:val="superscript"/>
        </w:rPr>
        <w:t>P28</w:t>
      </w:r>
      <w:r>
        <w:t>。选项C描述的是合法税务规划学科，对应避税而非逃税。逃税以非法手段为前提，C中的“合法”一词即将其排除出逃税的概念范围。</w:t>
      </w:r>
    </w:p>
    <w:p>
      <w:pPr>
        <w:spacing w:before="120" w:after="40"/>
      </w:pPr>
      <w:r>
        <w:rPr>
          <w:b/>
          <w:sz w:val="21"/>
          <w:shd w:fill="D6E4F0" w:val="clear"/>
        </w:rPr>
        <w:t>易错提醒</w:t>
      </w:r>
    </w:p>
    <w:p>
      <w:pPr>
        <w:spacing w:line="360" w:lineRule="auto" w:after="40"/>
        <w:ind w:firstLine="420"/>
      </w:pPr>
      <w:r>
        <w:t>逃税与避税的核心区分标准在于手段的合法性：逃税使用非法手段（虚假申报、不申报、隐瞒收入），避税使用合法手段（利用漏洞、税前储蓄、税务规划）。激进避税虽游走于灰色地带，仍属“解释法律”的合法范畴</w:t>
      </w:r>
      <w:r>
        <w:rPr>
          <w:sz w:val="15"/>
          <w:vertAlign w:val="superscript"/>
        </w:rPr>
        <w:t>P28</w:t>
      </w:r>
      <w:r>
        <w:t>，不能归入逃税。若选项中出现“利用漏洞”“合法规划”等措辞，优先怀疑其为避税而非逃税。</w:t>
      </w:r>
    </w:p>
    <w:p>
      <w:pPr>
        <w:spacing w:line="360" w:lineRule="auto" w:after="120"/>
      </w:pPr>
      <w:r/>
    </w:p>
    <w:p>
      <w:pPr>
        <w:spacing w:line="360" w:lineRule="auto" w:after="40"/>
      </w:pPr>
      <w:r>
        <w:t>2. 一家大型国际金融机构在美国和欧盟均有业务.一笔涉及一位拥有美国和法国双重国籍的高净值客户的跨境交易因其中介机构位于高风险地区而引发担忧.鉴于该交易受美国《银行保密法》(BSA)和美国海外资产控制办公室(OFAC)的要求以及欧盟《第六项反洗钱指令》(6AMLD)和欧洲银行管理局(EBA)法规的约束,合规团队应采取何种最佳措施来确保合规？ ( )</w:t>
      </w:r>
    </w:p>
    <w:p>
      <w:pPr>
        <w:spacing w:line="360" w:lineRule="auto" w:after="20"/>
        <w:ind w:firstLine="283"/>
      </w:pPr>
      <w:r>
        <w:t>A. 仅遵循欧盟法规,因为受益人位于法国</w:t>
      </w:r>
    </w:p>
    <w:p>
      <w:pPr>
        <w:spacing w:line="360" w:lineRule="auto" w:after="20"/>
        <w:ind w:firstLine="283"/>
      </w:pPr>
      <w:r>
        <w:t>B. 实施一种同时满足美国和欧盟AFC规定的双重合规方法</w:t>
      </w:r>
    </w:p>
    <w:p>
      <w:pPr>
        <w:spacing w:line="360" w:lineRule="auto" w:after="20"/>
        <w:ind w:firstLine="283"/>
      </w:pPr>
      <w:r>
        <w:t>C. 遵从最严格的监管制度以简化合规流程</w:t>
      </w:r>
    </w:p>
    <w:p>
      <w:pPr>
        <w:spacing w:line="360" w:lineRule="auto" w:after="20"/>
        <w:ind w:firstLine="283"/>
      </w:pPr>
      <w:r>
        <w:t>D. 仅遵循美国法规,因为交易起源于美国</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跨境交易合规需同时满足所有适用司法管辖区的AFC规定</w:t>
      </w:r>
    </w:p>
    <w:p>
      <w:pPr>
        <w:spacing w:before="120" w:after="40"/>
      </w:pPr>
      <w:r>
        <w:rPr>
          <w:b/>
          <w:sz w:val="21"/>
          <w:shd w:fill="D6E4F0" w:val="clear"/>
        </w:rPr>
        <w:t>核心解析</w:t>
      </w:r>
    </w:p>
    <w:p>
      <w:pPr>
        <w:spacing w:line="360" w:lineRule="auto" w:after="40"/>
        <w:ind w:firstLine="420"/>
      </w:pPr>
      <w:r>
        <w:t>跨境反洗钱合规需要协调多个司法管辖区的法律差异</w:t>
      </w:r>
      <w:r>
        <w:rPr>
          <w:sz w:val="15"/>
          <w:vertAlign w:val="superscript"/>
        </w:rPr>
        <w:t>P21</w:t>
      </w:r>
      <w:r>
        <w:t>：compliance professionals operating in cross-border contexts needing to align risk controls with the laws and regulations of more than one jurisdiction。教材案例进一步说明，当跨境交易涉及美国与欧盟时，应同时参照两地AFC法规</w:t>
      </w:r>
      <w:r>
        <w:rPr>
          <w:sz w:val="15"/>
          <w:vertAlign w:val="superscript"/>
        </w:rPr>
        <w:t>P178</w:t>
      </w:r>
      <w:r>
        <w:t>。本题中的金融机构在美国和欧盟均有业务，交易受美国BSA与OFAC要求以及欧盟6AMLD和EBA法规约束，因此最佳措施是实施双重合规方法，同时满足两套规定。</w:t>
      </w:r>
    </w:p>
    <w:p>
      <w:pPr>
        <w:spacing w:before="120" w:after="40"/>
      </w:pPr>
      <w:r>
        <w:rPr>
          <w:b/>
          <w:sz w:val="21"/>
          <w:shd w:fill="D6E4F0" w:val="clear"/>
        </w:rPr>
        <w:t>教材原句</w:t>
      </w:r>
    </w:p>
    <w:p>
      <w:pPr>
        <w:spacing w:line="360" w:lineRule="auto" w:after="40"/>
        <w:ind w:firstLine="420"/>
      </w:pPr>
      <w:r>
        <w:t>"compliance professionals operating in cross-border contexts needing to align risk controls with the laws and regulations of more than one jurisdiction."</w:t>
      </w:r>
    </w:p>
    <w:p>
      <w:pPr>
        <w:spacing w:before="120" w:after="40"/>
      </w:pPr>
      <w:r>
        <w:rPr>
          <w:b/>
          <w:sz w:val="21"/>
          <w:shd w:fill="D6E4F0" w:val="clear"/>
        </w:rPr>
        <w:t>A项错误</w:t>
      </w:r>
    </w:p>
    <w:p>
      <w:pPr>
        <w:spacing w:line="360" w:lineRule="auto" w:after="40"/>
        <w:ind w:firstLine="420"/>
      </w:pPr>
      <w:r>
        <w:t>仅遵循欧盟法规无法覆盖美国法规的要求，题干已明确指出该交易受美国BSA和OFAC约束，受益人位于法国并不排除美国监管的适用，因此双重合规更直接匹配题干条件。</w:t>
      </w:r>
    </w:p>
    <w:p>
      <w:pPr>
        <w:spacing w:before="120" w:after="40"/>
      </w:pPr>
      <w:r>
        <w:rPr>
          <w:b/>
          <w:sz w:val="21"/>
          <w:shd w:fill="D6E4F0" w:val="clear"/>
        </w:rPr>
        <w:t>C项错误</w:t>
      </w:r>
    </w:p>
    <w:p>
      <w:pPr>
        <w:spacing w:line="360" w:lineRule="auto" w:after="40"/>
        <w:ind w:firstLine="420"/>
      </w:pPr>
      <w:r>
        <w:t>遵从最严格的监管制度看似简化，但不同司法管辖区的要求可能存在特异性或互补性，不能由单一制度完全替代，教材不提倡以“最严格”代替逐一满足各辖区要求，与之相比双重合规更可靠。</w:t>
      </w:r>
    </w:p>
    <w:p>
      <w:pPr>
        <w:spacing w:before="120" w:after="40"/>
      </w:pPr>
      <w:r>
        <w:rPr>
          <w:b/>
          <w:sz w:val="21"/>
          <w:shd w:fill="D6E4F0" w:val="clear"/>
        </w:rPr>
        <w:t>D项错误</w:t>
      </w:r>
    </w:p>
    <w:p>
      <w:pPr>
        <w:spacing w:line="360" w:lineRule="auto" w:after="40"/>
        <w:ind w:firstLine="420"/>
      </w:pPr>
      <w:r>
        <w:t>同理，仅遵循美国法规忽略了交易同时受到欧盟法规约束的事实，交易起源地并非唯一连接点，其他要素（如中介机构所在地、业务覆盖范围）也触发欧盟义务，双重合规比单一选择更吻合教材对跨境协调的要求。</w:t>
      </w:r>
    </w:p>
    <w:p>
      <w:pPr>
        <w:spacing w:before="120" w:after="40"/>
      </w:pPr>
      <w:r>
        <w:rPr>
          <w:b/>
          <w:sz w:val="21"/>
          <w:shd w:fill="D6E4F0" w:val="clear"/>
        </w:rPr>
        <w:t>易错提醒</w:t>
      </w:r>
    </w:p>
    <w:p>
      <w:pPr>
        <w:spacing w:line="360" w:lineRule="auto" w:after="40"/>
        <w:ind w:firstLine="420"/>
      </w:pPr>
      <w:r>
        <w:t>跨境合规不能通过选择单一最严格的制度来覆盖所有义务，因为各司法管辖区的要求具有互补性或特异性，需要逐一满足</w:t>
      </w:r>
      <w:r>
        <w:rPr>
          <w:sz w:val="15"/>
          <w:vertAlign w:val="superscript"/>
        </w:rPr>
        <w:t>P21</w:t>
      </w:r>
      <w:r>
        <w:t>。</w:t>
      </w:r>
    </w:p>
    <w:p>
      <w:pPr>
        <w:spacing w:line="360" w:lineRule="auto" w:after="120"/>
      </w:pPr>
      <w:r/>
    </w:p>
    <w:p>
      <w:pPr>
        <w:spacing w:line="360" w:lineRule="auto" w:after="40"/>
      </w:pPr>
      <w:r>
        <w:t>3. 一位金融机构(FI)的客户投诉称,他们收到了多封看似来自该金融机构的电子邮件,催促他们点击链接或打开汇款附件进行确认.客户打开附件后,后来才发现自己银行账户中的资金在他们不知情的情况下被有计划地转走了.此情景中描述的是哪种类型的网络犯罪？ ( )</w:t>
      </w:r>
    </w:p>
    <w:p>
      <w:pPr>
        <w:spacing w:line="360" w:lineRule="auto" w:after="20"/>
        <w:ind w:firstLine="283"/>
      </w:pPr>
      <w:r>
        <w:t>A. 语音钓鱼（vishing）</w:t>
      </w:r>
    </w:p>
    <w:p>
      <w:pPr>
        <w:spacing w:line="360" w:lineRule="auto" w:after="20"/>
        <w:ind w:firstLine="283"/>
      </w:pPr>
      <w:r>
        <w:t>B. 域名欺骗（pharming）</w:t>
      </w:r>
    </w:p>
    <w:p>
      <w:pPr>
        <w:spacing w:line="360" w:lineRule="auto" w:after="20"/>
        <w:ind w:firstLine="283"/>
      </w:pPr>
      <w:r>
        <w:t>C. 短信钓鱼（SMiShing）</w:t>
      </w:r>
    </w:p>
    <w:p>
      <w:pPr>
        <w:spacing w:line="360" w:lineRule="auto" w:after="20"/>
        <w:ind w:firstLine="283"/>
      </w:pPr>
      <w:r>
        <w:t>D. 鱼叉式网络钓鱼</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按攻击媒介和针对性区分网络钓鱼的四种亚型</w:t>
      </w:r>
    </w:p>
    <w:p>
      <w:pPr>
        <w:spacing w:before="120" w:after="40"/>
      </w:pPr>
      <w:r>
        <w:rPr>
          <w:b/>
          <w:sz w:val="21"/>
          <w:shd w:fill="D6E4F0" w:val="clear"/>
        </w:rPr>
        <w:t>核心解析</w:t>
      </w:r>
    </w:p>
    <w:p>
      <w:pPr>
        <w:spacing w:line="360" w:lineRule="auto" w:after="40"/>
        <w:ind w:firstLine="420"/>
      </w:pPr>
      <w:r>
        <w:t>教材指出网络犯罪使用钓鱼和欺骗等冒充手段来获取目标信任</w:t>
      </w:r>
      <w:r>
        <w:rPr>
          <w:sz w:val="15"/>
          <w:vertAlign w:val="superscript"/>
        </w:rPr>
        <w:t>P30</w:t>
      </w:r>
      <w:r>
        <w:t>。在此框架下，四种网络钓鱼亚型的核心区分在于攻击媒介和针对性程度：鱼叉式网络钓鱼（spear phishing）指通过电子邮件实施的、针对特定个人或组织的精准钓鱼攻击，邮件内容常根据目标定制（如仿冒其信任的金融机构、嵌入看似真实的业务理由）。题干中，攻击者多封发件、仿冒特定金融机构、以“汇款确认”为诱饵，并有计划地转走该客户资金——攻击媒介为电子邮件、目标为特定FI客户、手法具有定制化特征，这三重要素与鱼叉式网络钓鱼的匹配度最高，由此可推断D为最直接吻合的类型。</w:t>
      </w:r>
    </w:p>
    <w:p>
      <w:pPr>
        <w:spacing w:before="120" w:after="40"/>
      </w:pPr>
      <w:r>
        <w:rPr>
          <w:b/>
          <w:sz w:val="21"/>
          <w:shd w:fill="D6E4F0" w:val="clear"/>
        </w:rPr>
        <w:t>A项错误</w:t>
      </w:r>
    </w:p>
    <w:p>
      <w:pPr>
        <w:spacing w:line="360" w:lineRule="auto" w:after="40"/>
        <w:ind w:firstLine="420"/>
      </w:pPr>
      <w:r>
        <w:t>语音钓鱼（vishing）的攻击媒介是电话或语音通话，犯罪分子通过实时对话诱骗受害者提供敏感信息。题干中犯罪全程通过电子邮件完成，不涉及语音交互，攻击媒介的匹配度明显低于鱼叉式网络钓鱼。</w:t>
      </w:r>
    </w:p>
    <w:p>
      <w:pPr>
        <w:spacing w:before="120" w:after="40"/>
      </w:pPr>
      <w:r>
        <w:rPr>
          <w:b/>
          <w:sz w:val="21"/>
          <w:shd w:fill="D6E4F0" w:val="clear"/>
        </w:rPr>
        <w:t>B项错误</w:t>
      </w:r>
    </w:p>
    <w:p>
      <w:pPr>
        <w:spacing w:line="360" w:lineRule="auto" w:after="40"/>
        <w:ind w:firstLine="420"/>
      </w:pPr>
      <w:r>
        <w:t>域名欺骗（pharming）的核心手段是操控DNS或域名解析，将用户在不知情时重定向至虚假网站以收集信息，攻击发生在网络基础设施层面，文件下载和账户控制并非其典型路径。题干攻击通过邮件内的链接或附件实现，且教材材料中仅提到IP欺骗（IP spoofing）作为地理定位绕过的风险</w:t>
      </w:r>
      <w:r>
        <w:rPr>
          <w:sz w:val="15"/>
          <w:vertAlign w:val="superscript"/>
        </w:rPr>
        <w:t>P120</w:t>
      </w:r>
      <w:r>
        <w:t>，未将pharming直接纳入网络犯罪冒充手段的讨论，与D相比，其与题干场景的吻合度更弱。</w:t>
      </w:r>
    </w:p>
    <w:p>
      <w:pPr>
        <w:spacing w:before="120" w:after="40"/>
      </w:pPr>
      <w:r>
        <w:rPr>
          <w:b/>
          <w:sz w:val="21"/>
          <w:shd w:fill="D6E4F0" w:val="clear"/>
        </w:rPr>
        <w:t>C项错误</w:t>
      </w:r>
    </w:p>
    <w:p>
      <w:pPr>
        <w:spacing w:line="360" w:lineRule="auto" w:after="40"/>
        <w:ind w:firstLine="420"/>
      </w:pPr>
      <w:r>
        <w:t>短信钓鱼（SMiShing）通过短信（SMS）而非电子邮件分发钓鱼内容。题干明确指出攻击载体为“电子邮件”，与SMiShing的攻击媒介不匹配，因此D比C更直接对应题干描述。</w:t>
      </w:r>
    </w:p>
    <w:p>
      <w:pPr>
        <w:spacing w:before="120" w:after="40"/>
      </w:pPr>
      <w:r>
        <w:rPr>
          <w:b/>
          <w:sz w:val="21"/>
          <w:shd w:fill="D6E4F0" w:val="clear"/>
        </w:rPr>
        <w:t>易错提醒</w:t>
      </w:r>
    </w:p>
    <w:p>
      <w:pPr>
        <w:spacing w:line="360" w:lineRule="auto" w:after="40"/>
        <w:ind w:firstLine="420"/>
      </w:pPr>
      <w:r>
        <w:t>网络钓鱼有四种常见亚型，区分核心是攻击媒介和针对性：普通phishing是批量群发邮件，无须定制；spear phishing用邮件针对特定个人或组织，内容定制化（如仿冒受害者熟悉的机构）；vishing通过电话实施；SMiShing通过短信实施；pharming则是在DNS层面将用户重定向至虚假网站，不依赖诱饵邮件本身。题干中出现“仿冒特定FI”“多封邮件”“有计划地转走”这三个信号时，优先考虑spear phishing。</w:t>
      </w:r>
    </w:p>
    <w:p>
      <w:pPr>
        <w:spacing w:line="360" w:lineRule="auto" w:after="120"/>
      </w:pPr>
      <w:r/>
    </w:p>
    <w:p>
      <w:pPr>
        <w:spacing w:line="360" w:lineRule="auto" w:after="40"/>
      </w:pPr>
      <w:r>
        <w:t>4. 一位富有的个人正在利用复杂的公司架构为非法伐木以及随后在该土地上非法开采资源提供便利。正在发生的是哪一类上游犯罪？ ( )</w:t>
      </w:r>
    </w:p>
    <w:p>
      <w:pPr>
        <w:spacing w:line="360" w:lineRule="auto" w:after="20"/>
        <w:ind w:firstLine="283"/>
      </w:pPr>
      <w:r>
        <w:t>A. 以贸易为基础的洗钱</w:t>
      </w:r>
    </w:p>
    <w:p>
      <w:pPr>
        <w:spacing w:line="360" w:lineRule="auto" w:after="20"/>
        <w:ind w:firstLine="283"/>
      </w:pPr>
      <w:r>
        <w:t>B. 腐败</w:t>
      </w:r>
    </w:p>
    <w:p>
      <w:pPr>
        <w:spacing w:line="360" w:lineRule="auto" w:after="20"/>
        <w:ind w:firstLine="283"/>
      </w:pPr>
      <w:r>
        <w:t>C. 非法资源贸易</w:t>
      </w:r>
    </w:p>
    <w:p>
      <w:pPr>
        <w:spacing w:line="360" w:lineRule="auto" w:after="20"/>
        <w:ind w:firstLine="283"/>
      </w:pPr>
      <w:r>
        <w:t>D. 环境犯罪</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识别环境犯罪作为FATF上游犯罪的具体范畴</w:t>
      </w:r>
    </w:p>
    <w:p>
      <w:pPr>
        <w:spacing w:before="120" w:after="40"/>
      </w:pPr>
      <w:r>
        <w:rPr>
          <w:b/>
          <w:sz w:val="21"/>
          <w:shd w:fill="D6E4F0" w:val="clear"/>
        </w:rPr>
        <w:t>核心解析</w:t>
      </w:r>
    </w:p>
    <w:p>
      <w:pPr>
        <w:spacing w:line="360" w:lineRule="auto" w:after="40"/>
        <w:ind w:firstLine="420"/>
      </w:pPr>
      <w:r>
        <w:t>FATF确定了21类上游犯罪，其中环境犯罪涵盖“Logging, poaching, and waste disposal”</w:t>
      </w:r>
      <w:r>
        <w:rPr>
          <w:sz w:val="15"/>
          <w:vertAlign w:val="superscript"/>
        </w:rPr>
        <w:t>P22</w:t>
      </w:r>
      <w:r>
        <w:t>，并且环境犯罪也包括非法采矿等行为</w:t>
      </w:r>
      <w:r>
        <w:rPr>
          <w:sz w:val="15"/>
          <w:vertAlign w:val="superscript"/>
        </w:rPr>
        <w:t>P217</w:t>
      </w:r>
      <w:r>
        <w:t>。题干描述的“非法伐木”以及随后的“非法开采资源”直接落入环境犯罪这一类别，因此该行为属于环境犯罪这一上游犯罪。</w:t>
      </w:r>
    </w:p>
    <w:p>
      <w:pPr>
        <w:spacing w:before="120" w:after="40"/>
      </w:pPr>
      <w:r>
        <w:rPr>
          <w:b/>
          <w:sz w:val="21"/>
          <w:shd w:fill="D6E4F0" w:val="clear"/>
        </w:rPr>
        <w:t>教材原句</w:t>
      </w:r>
    </w:p>
    <w:p>
      <w:pPr>
        <w:spacing w:line="360" w:lineRule="auto" w:after="40"/>
        <w:ind w:firstLine="420"/>
      </w:pPr>
      <w:r>
        <w:t>"12. Environmental crime: Logging, poaching, and waste disposal"</w:t>
      </w:r>
    </w:p>
    <w:p>
      <w:pPr>
        <w:spacing w:before="120" w:after="40"/>
      </w:pPr>
      <w:r>
        <w:rPr>
          <w:b/>
          <w:sz w:val="21"/>
          <w:shd w:fill="D6E4F0" w:val="clear"/>
        </w:rPr>
        <w:t>A项错误</w:t>
      </w:r>
    </w:p>
    <w:p>
      <w:pPr>
        <w:spacing w:line="360" w:lineRule="auto" w:after="40"/>
        <w:ind w:firstLine="420"/>
      </w:pPr>
      <w:r>
        <w:t>贸易洗钱指通过贸易交易伪装犯罪收益并转移价值</w:t>
      </w:r>
      <w:r>
        <w:rPr>
          <w:sz w:val="15"/>
          <w:vertAlign w:val="superscript"/>
        </w:rPr>
        <w:t>P131</w:t>
      </w:r>
      <w:r>
        <w:t>，典型手法包括高/低开发票、多重发票等。题干仅提到利用复杂公司架构便利非法伐木和采矿，未描述任何与贸易交易相关的洗钱手法，因此与环境犯罪这一上游犯罪的直接匹配度更高。</w:t>
      </w:r>
    </w:p>
    <w:p>
      <w:pPr>
        <w:spacing w:before="120" w:after="40"/>
      </w:pPr>
      <w:r>
        <w:rPr>
          <w:b/>
          <w:sz w:val="21"/>
          <w:shd w:fill="D6E4F0" w:val="clear"/>
        </w:rPr>
        <w:t>B项错误</w:t>
      </w:r>
    </w:p>
    <w:p>
      <w:pPr>
        <w:spacing w:line="360" w:lineRule="auto" w:after="40"/>
        <w:ind w:firstLine="420"/>
      </w:pPr>
      <w:r>
        <w:t>腐败是滥用委托权力谋取私利</w:t>
      </w:r>
      <w:r>
        <w:rPr>
          <w:sz w:val="15"/>
          <w:vertAlign w:val="superscript"/>
        </w:rPr>
        <w:t>P25</w:t>
      </w:r>
      <w:r>
        <w:t>，需存在权力滥用或贿赂等要素。题干没有提及任何官员、权力行使或利益交换，虽然环境犯罪有时伴随腐败，但题干所描述行为的核心特征直接属于环境犯罪，而非腐败。</w:t>
      </w:r>
    </w:p>
    <w:p>
      <w:pPr>
        <w:spacing w:before="120" w:after="40"/>
      </w:pPr>
      <w:r>
        <w:rPr>
          <w:b/>
          <w:sz w:val="21"/>
          <w:shd w:fill="D6E4F0" w:val="clear"/>
        </w:rPr>
        <w:t>C项错误</w:t>
      </w:r>
    </w:p>
    <w:p>
      <w:pPr>
        <w:spacing w:line="360" w:lineRule="auto" w:after="40"/>
        <w:ind w:firstLine="420"/>
      </w:pPr>
      <w:r>
        <w:t>“非法资源贸易”并非FATF 21类上游犯罪中的独立类别，教材也未将其作为一个单独的上游犯罪概念。而环境犯罪明确包括伐木和非法采矿，更直接匹配题干所描述的行为。</w:t>
      </w:r>
    </w:p>
    <w:p>
      <w:pPr>
        <w:spacing w:before="120" w:after="40"/>
      </w:pPr>
      <w:r>
        <w:rPr>
          <w:b/>
          <w:sz w:val="21"/>
          <w:shd w:fill="D6E4F0" w:val="clear"/>
        </w:rPr>
        <w:t>易错提醒</w:t>
      </w:r>
    </w:p>
    <w:p>
      <w:pPr>
        <w:spacing w:line="360" w:lineRule="auto" w:after="40"/>
        <w:ind w:firstLine="420"/>
      </w:pPr>
      <w:r>
        <w:t>教材将环境犯罪明确定义为FATF上游犯罪之一</w:t>
      </w:r>
      <w:r>
        <w:rPr>
          <w:sz w:val="15"/>
          <w:vertAlign w:val="superscript"/>
        </w:rPr>
        <w:t>P22</w:t>
      </w:r>
      <w:r>
        <w:t>，并涵盖伐木和非法采矿；“非法资源贸易”并非教材列举的独立上游犯罪类别，考试中应直接认定环境犯罪而非自造类别。</w:t>
      </w:r>
    </w:p>
    <w:p>
      <w:pPr>
        <w:spacing w:line="360" w:lineRule="auto" w:after="120"/>
      </w:pPr>
      <w:r/>
    </w:p>
    <w:p>
      <w:pPr>
        <w:spacing w:line="360" w:lineRule="auto" w:after="40"/>
      </w:pPr>
      <w:r>
        <w:t>5. 逃税是: ( )</w:t>
      </w:r>
    </w:p>
    <w:p>
      <w:pPr>
        <w:spacing w:line="360" w:lineRule="auto" w:after="20"/>
        <w:ind w:firstLine="283"/>
      </w:pPr>
      <w:r>
        <w:t>A. 故意不缴纳应缴税款的行为.</w:t>
      </w:r>
    </w:p>
    <w:p>
      <w:pPr>
        <w:spacing w:line="360" w:lineRule="auto" w:after="20"/>
        <w:ind w:firstLine="283"/>
      </w:pPr>
      <w:r>
        <w:t>B. 违规操作以少缴应缴税款.</w:t>
      </w:r>
    </w:p>
    <w:p>
      <w:pPr>
        <w:spacing w:line="360" w:lineRule="auto" w:after="20"/>
        <w:ind w:firstLine="283"/>
      </w:pPr>
      <w:r>
        <w:t>C. 不是重要犯罪,因为它对社会没有影响.</w:t>
      </w:r>
    </w:p>
    <w:p>
      <w:pPr>
        <w:spacing w:line="360" w:lineRule="auto" w:after="20"/>
        <w:ind w:firstLine="283"/>
      </w:pPr>
      <w:r>
        <w:t>D. 一个复杂的流程,其含义总是与避税相同.</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逃税定义的核心：非法故意不纳税，区别于合法避税。</w:t>
      </w:r>
    </w:p>
    <w:p>
      <w:pPr>
        <w:spacing w:before="120" w:after="40"/>
      </w:pPr>
      <w:r>
        <w:rPr>
          <w:b/>
          <w:sz w:val="21"/>
          <w:shd w:fill="D6E4F0" w:val="clear"/>
        </w:rPr>
        <w:t>核心解析</w:t>
      </w:r>
    </w:p>
    <w:p>
      <w:pPr>
        <w:spacing w:line="360" w:lineRule="auto" w:after="40"/>
        <w:ind w:firstLine="420"/>
      </w:pPr>
      <w:r>
        <w:t>Tax evasion is the use of illegal practices to avoid paying a tax liability</w:t>
      </w:r>
      <w:r>
        <w:rPr>
          <w:sz w:val="15"/>
          <w:vertAlign w:val="superscript"/>
        </w:rPr>
        <w:t>P28</w:t>
      </w:r>
      <w:r>
        <w:t>。这一定义强调行为的非法性和逃避纳税义务的故意。选项A“故意不缴纳应缴税款”（a deliberate attempt not to pay the tax which is due or owed）直接体现了故意逃避应纳税款这一核心要素，与教材定义完全吻合。相比之下，其他选项或混淆合法避税概念，或否认社会危害，均未准确描述逃税的本质。</w:t>
      </w:r>
    </w:p>
    <w:p>
      <w:pPr>
        <w:spacing w:before="120" w:after="40"/>
      </w:pPr>
      <w:r>
        <w:rPr>
          <w:b/>
          <w:sz w:val="21"/>
          <w:shd w:fill="D6E4F0" w:val="clear"/>
        </w:rPr>
        <w:t>教材原句</w:t>
      </w:r>
    </w:p>
    <w:p>
      <w:pPr>
        <w:spacing w:line="360" w:lineRule="auto" w:after="40"/>
        <w:ind w:firstLine="420"/>
      </w:pPr>
      <w:r>
        <w:t>"Tax evasion is the use of illegal practices to avoid paying a tax liability."</w:t>
      </w:r>
    </w:p>
    <w:p>
      <w:pPr>
        <w:spacing w:before="120" w:after="40"/>
      </w:pPr>
      <w:r>
        <w:rPr>
          <w:b/>
          <w:sz w:val="21"/>
          <w:shd w:fill="D6E4F0" w:val="clear"/>
        </w:rPr>
        <w:t>B项错误</w:t>
      </w:r>
    </w:p>
    <w:p>
      <w:pPr>
        <w:spacing w:line="360" w:lineRule="auto" w:after="40"/>
        <w:ind w:firstLine="420"/>
      </w:pPr>
      <w:r>
        <w:t>教材将逃税限定为使用非法手段，而“bending the rules”（钻规则空子）更接近激进避税的定义——对法律进行激进的解释，但尚未明确违法</w:t>
      </w:r>
      <w:r>
        <w:rPr>
          <w:sz w:val="15"/>
          <w:vertAlign w:val="superscript"/>
        </w:rPr>
        <w:t>P28</w:t>
      </w:r>
      <w:r>
        <w:t>。因此在匹配度上，该选项不如A直接指向故意非法行为。</w:t>
      </w:r>
    </w:p>
    <w:p>
      <w:pPr>
        <w:spacing w:before="120" w:after="40"/>
      </w:pPr>
      <w:r>
        <w:rPr>
          <w:b/>
          <w:sz w:val="21"/>
          <w:shd w:fill="D6E4F0" w:val="clear"/>
        </w:rPr>
        <w:t>C项错误</w:t>
      </w:r>
    </w:p>
    <w:p>
      <w:pPr>
        <w:spacing w:line="360" w:lineRule="auto" w:after="40"/>
        <w:ind w:firstLine="420"/>
      </w:pPr>
      <w:r>
        <w:t>教材明确指出逃税是洗钱的上游犯罪，并造成国家税收大量流失和社会项目资金缩减（P28, P41），其社会影响显著，因此该项与教材事实直接矛盾。</w:t>
      </w:r>
    </w:p>
    <w:p>
      <w:pPr>
        <w:spacing w:before="120" w:after="40"/>
      </w:pPr>
      <w:r>
        <w:rPr>
          <w:b/>
          <w:sz w:val="21"/>
          <w:shd w:fill="D6E4F0" w:val="clear"/>
        </w:rPr>
        <w:t>D项错误</w:t>
      </w:r>
    </w:p>
    <w:p>
      <w:pPr>
        <w:spacing w:line="360" w:lineRule="auto" w:after="40"/>
        <w:ind w:firstLine="420"/>
      </w:pPr>
      <w:r>
        <w:t>教材将避税定义为合法减少税负，逃税定义为非法逃避纳税义务</w:t>
      </w:r>
      <w:r>
        <w:rPr>
          <w:sz w:val="15"/>
          <w:vertAlign w:val="superscript"/>
        </w:rPr>
        <w:t>P28</w:t>
      </w:r>
      <w:r>
        <w:t>，二者含义不同，因此“always means the same as tax avoidance”与教材的基本区分相悖。</w:t>
      </w:r>
    </w:p>
    <w:p>
      <w:pPr>
        <w:spacing w:before="120" w:after="40"/>
      </w:pPr>
      <w:r>
        <w:rPr>
          <w:b/>
          <w:sz w:val="21"/>
          <w:shd w:fill="D6E4F0" w:val="clear"/>
        </w:rPr>
        <w:t>易错提醒</w:t>
      </w:r>
    </w:p>
    <w:p>
      <w:pPr>
        <w:spacing w:line="360" w:lineRule="auto" w:after="40"/>
        <w:ind w:firstLine="420"/>
      </w:pPr>
      <w:r>
        <w:t>逃税（Tax Evasion）是使用非法手段逃避纳税义务，避税（Tax Avoidance）是合法减少税负</w:t>
      </w:r>
      <w:r>
        <w:rPr>
          <w:sz w:val="15"/>
          <w:vertAlign w:val="superscript"/>
        </w:rPr>
        <w:t>P28</w:t>
      </w:r>
      <w:r>
        <w:t>。激进避税（Aggressive Tax Avoidance）是对法律的激进解释，仍在合法框架内</w:t>
      </w:r>
      <w:r>
        <w:rPr>
          <w:sz w:val="15"/>
          <w:vertAlign w:val="superscript"/>
        </w:rPr>
        <w:t>P28</w:t>
      </w:r>
      <w:r>
        <w:t>。做题时若选项只体现“打擦边球”而未明确指称“非法行为”，通常指向避税或激进避税，而非逃税。</w:t>
      </w:r>
    </w:p>
    <w:p>
      <w:pPr>
        <w:spacing w:line="360" w:lineRule="auto" w:after="120"/>
      </w:pPr>
      <w:r/>
    </w:p>
    <w:p>
      <w:pPr>
        <w:spacing w:line="360" w:lineRule="auto" w:after="40"/>
      </w:pPr>
      <w:r>
        <w:t>6. 一位欧盟信托和公司服务提供商的分析师在查看一位客户的财务报表和详细的分类账时,发现了一些异常活动.该客户从事机械进出口业务.哪项交易指标需要进一步上报给合规官？ ( )</w:t>
      </w:r>
    </w:p>
    <w:p>
      <w:pPr>
        <w:spacing w:line="360" w:lineRule="auto" w:after="20"/>
        <w:ind w:firstLine="283"/>
      </w:pPr>
      <w:r>
        <w:t>A. 向位于税收优惠地区的外国公司支付公司秘书服务费</w:t>
      </w:r>
    </w:p>
    <w:p>
      <w:pPr>
        <w:spacing w:line="360" w:lineRule="auto" w:after="20"/>
        <w:ind w:firstLine="283"/>
      </w:pPr>
      <w:r>
        <w:t>B. 海外虚拟办公室服务的支付</w:t>
      </w:r>
    </w:p>
    <w:p>
      <w:pPr>
        <w:spacing w:line="360" w:lineRule="auto" w:after="20"/>
        <w:ind w:firstLine="283"/>
      </w:pPr>
      <w:r>
        <w:t>C. 母公司向子公司提供的用于支付机械设备运输费用的公司间贷款</w:t>
      </w:r>
    </w:p>
    <w:p>
      <w:pPr>
        <w:spacing w:line="360" w:lineRule="auto" w:after="20"/>
        <w:ind w:firstLine="283"/>
      </w:pPr>
      <w:r>
        <w:t>D. 向在外国司法管辖区设立的无关联公司及服务提供商支付咨询费</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识别以“咨询费”为名向高风险地区无关联方付款的贿赂洗钱风险</w:t>
      </w:r>
    </w:p>
    <w:p>
      <w:pPr>
        <w:spacing w:before="120" w:after="40"/>
      </w:pPr>
      <w:r>
        <w:rPr>
          <w:b/>
          <w:sz w:val="21"/>
          <w:shd w:fill="D6E4F0" w:val="clear"/>
        </w:rPr>
        <w:t>核心解析</w:t>
      </w:r>
    </w:p>
    <w:p>
      <w:pPr>
        <w:spacing w:line="360" w:lineRule="auto" w:after="40"/>
        <w:ind w:firstLine="420"/>
      </w:pPr>
      <w:r>
        <w:t>金融机构应加强对可疑活动的交易监控，尤其是向位于高风险司法管辖区的个人或中介支付的“咨询费”</w:t>
      </w:r>
      <w:r>
        <w:rPr>
          <w:sz w:val="15"/>
          <w:vertAlign w:val="superscript"/>
        </w:rPr>
        <w:t>P27</w:t>
      </w:r>
      <w:r>
        <w:t>。教材在FullTechGlobal案例中进一步展示了，子公司正是通过虚增咨询费、伪造发票和壳公司来掩盖非法资金流动</w:t>
      </w:r>
      <w:r>
        <w:rPr>
          <w:sz w:val="15"/>
          <w:vertAlign w:val="superscript"/>
        </w:rPr>
        <w:t>P26</w:t>
      </w:r>
      <w:r>
        <w:t>。在本题中，客户从事机械进出口业务，却向设立在外国司法管辖区的“无关联公司及服务提供商”支付咨询费。交易对手的“无关联”属性和“外国司法管辖区”地点，使得该笔支付缺乏清晰、合理的商业实质，与教材警示的利用咨询费掩盖贿赂资金并转移至境外的模式高度吻合，因此该指标需要进一步上报。</w:t>
      </w:r>
    </w:p>
    <w:p>
      <w:pPr>
        <w:spacing w:before="120" w:after="40"/>
      </w:pPr>
      <w:r>
        <w:rPr>
          <w:b/>
          <w:sz w:val="21"/>
          <w:shd w:fill="D6E4F0" w:val="clear"/>
        </w:rPr>
        <w:t>教材原句</w:t>
      </w:r>
    </w:p>
    <w:p>
      <w:pPr>
        <w:spacing w:line="360" w:lineRule="auto" w:after="40"/>
        <w:ind w:firstLine="420"/>
      </w:pPr>
      <w:r>
        <w:t>"Enhance transaction monitoring for suspicious activities, especially regarding “consultancy fees” to individuals or intermediaries located in high-risk jurisdictions."</w:t>
      </w:r>
    </w:p>
    <w:p>
      <w:pPr>
        <w:spacing w:before="120" w:after="40"/>
      </w:pPr>
      <w:r>
        <w:rPr>
          <w:b/>
          <w:sz w:val="21"/>
          <w:shd w:fill="D6E4F0" w:val="clear"/>
        </w:rPr>
        <w:t>A项错误</w:t>
      </w:r>
    </w:p>
    <w:p>
      <w:pPr>
        <w:spacing w:line="360" w:lineRule="auto" w:after="40"/>
        <w:ind w:firstLine="420"/>
      </w:pPr>
      <w:r>
        <w:t>向税收优惠地区支付秘书服务费，可能与激进避税手法（如通过支付服务费转移利润）有一定关联，但教材将激进避税定义为“不考虑立法意图或精神而激进地解释法律”</w:t>
      </w:r>
      <w:r>
        <w:rPr>
          <w:sz w:val="15"/>
          <w:vertAlign w:val="superscript"/>
        </w:rPr>
        <w:t>P28</w:t>
      </w:r>
      <w:r>
        <w:t>。相比之下，教材对咨询费支付给出的是直接的交易监控要求，题干描述更吻合教材对贿赂洗钱风险的界定。</w:t>
      </w:r>
    </w:p>
    <w:p>
      <w:pPr>
        <w:spacing w:before="120" w:after="40"/>
      </w:pPr>
      <w:r>
        <w:rPr>
          <w:b/>
          <w:sz w:val="21"/>
          <w:shd w:fill="D6E4F0" w:val="clear"/>
        </w:rPr>
        <w:t>B项错误</w:t>
      </w:r>
    </w:p>
    <w:p>
      <w:pPr>
        <w:spacing w:line="360" w:lineRule="auto" w:after="40"/>
        <w:ind w:firstLine="420"/>
      </w:pPr>
      <w:r>
        <w:t>支付海外虚拟办公室服务虽可能涉及空壳风险，但题干未提供该服务与客户进出口业务存在异常关联的进一步细节。相比之下，D选项指向教材中明确要求加强监控的“咨询费”类型，匹配度更高。</w:t>
      </w:r>
    </w:p>
    <w:p>
      <w:pPr>
        <w:spacing w:before="120" w:after="40"/>
      </w:pPr>
      <w:r>
        <w:rPr>
          <w:b/>
          <w:sz w:val="21"/>
          <w:shd w:fill="D6E4F0" w:val="clear"/>
        </w:rPr>
        <w:t>C项错误</w:t>
      </w:r>
    </w:p>
    <w:p>
      <w:pPr>
        <w:spacing w:line="360" w:lineRule="auto" w:after="40"/>
        <w:ind w:firstLine="420"/>
      </w:pPr>
      <w:r>
        <w:t>母子公司间为支付设备运输费而发生的贷款，具有真实的商业背景和明确的资金用途。而教材的风险指标指向的是“无关联第三方”之间的贷款协议</w:t>
      </w:r>
      <w:r>
        <w:rPr>
          <w:sz w:val="15"/>
          <w:vertAlign w:val="superscript"/>
        </w:rPr>
        <w:t>P128</w:t>
      </w:r>
      <w:r>
        <w:t>，或通过咨询费等虚增费用转移资金。C项的交易对手和目的均有合理商业解释，风险信号不如D项明确。</w:t>
      </w:r>
    </w:p>
    <w:p>
      <w:pPr>
        <w:spacing w:before="120" w:after="40"/>
      </w:pPr>
      <w:r>
        <w:rPr>
          <w:b/>
          <w:sz w:val="21"/>
          <w:shd w:fill="D6E4F0" w:val="clear"/>
        </w:rPr>
        <w:t>易错提醒</w:t>
      </w:r>
    </w:p>
    <w:p>
      <w:pPr>
        <w:spacing w:line="360" w:lineRule="auto" w:after="40"/>
        <w:ind w:firstLine="420"/>
      </w:pPr>
      <w:r>
        <w:t>公司间贷款与无关联方咨询费的核心区别在于交易对手的关联性和商业实质。母子公司间贷款如有真实的底层业务（如运输费用）支撑，则属于正常经营；而无关联方之间大额咨询费若无明确可验证的服务内容，则更可疑。教材将“无关联第三方之间的贷款协议缺乏合法经济理由”与“向高风险地区支付咨询费”均列为风险指标，但前者更强调借贷关系的虚假性，后者直接警示贿赂资金转移。本题中，支付对象是“无关联公司”，支付的又是“咨询费”，双重特征叠加使风险指向更明确。</w:t>
      </w:r>
    </w:p>
    <w:p>
      <w:pPr>
        <w:spacing w:line="360" w:lineRule="auto" w:after="120"/>
      </w:pPr>
      <w:r/>
    </w:p>
    <w:p>
      <w:pPr>
        <w:spacing w:line="360" w:lineRule="auto" w:after="40"/>
      </w:pPr>
      <w:r>
        <w:t>7. [洗钱和恐怖融资的风险及方法]哪些犯罪活动可能构成金融犯罪或洗钱活动的上游犯罪？(选择三项.) ( )</w:t>
      </w:r>
    </w:p>
    <w:p>
      <w:pPr>
        <w:spacing w:line="360" w:lineRule="auto" w:after="20"/>
        <w:ind w:firstLine="283"/>
      </w:pPr>
      <w:r>
        <w:t>A. 袭击</w:t>
      </w:r>
    </w:p>
    <w:p>
      <w:pPr>
        <w:spacing w:line="360" w:lineRule="auto" w:after="20"/>
        <w:ind w:firstLine="283"/>
      </w:pPr>
      <w:r>
        <w:t>B. 纵火罪</w:t>
      </w:r>
    </w:p>
    <w:p>
      <w:pPr>
        <w:spacing w:line="360" w:lineRule="auto" w:after="20"/>
        <w:ind w:firstLine="283"/>
      </w:pPr>
      <w:r>
        <w:t>C. 贿赂或腐败</w:t>
      </w:r>
    </w:p>
    <w:p>
      <w:pPr>
        <w:spacing w:line="360" w:lineRule="auto" w:after="20"/>
        <w:ind w:firstLine="283"/>
      </w:pPr>
      <w:r>
        <w:t>D. 诈骗</w:t>
      </w:r>
    </w:p>
    <w:p>
      <w:pPr>
        <w:spacing w:line="360" w:lineRule="auto" w:after="20"/>
        <w:ind w:firstLine="283"/>
      </w:pPr>
      <w:r>
        <w:t>E. 有组织犯罪或敲诈勒索罪</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识别金融犯罪及洗钱活动中“上游犯罪”的定义与常见类型</w:t>
      </w:r>
    </w:p>
    <w:p>
      <w:pPr>
        <w:spacing w:before="120" w:after="40"/>
      </w:pPr>
      <w:r>
        <w:rPr>
          <w:b/>
          <w:sz w:val="21"/>
          <w:shd w:fill="D6E4F0" w:val="clear"/>
        </w:rPr>
        <w:t>核心解析</w:t>
      </w:r>
    </w:p>
    <w:p>
      <w:pPr>
        <w:spacing w:line="360" w:lineRule="auto" w:after="40"/>
        <w:ind w:firstLine="420"/>
      </w:pPr>
      <w:r>
        <w:t>上游犯罪指其收益可导致洗钱起诉的特定非法活动</w:t>
      </w:r>
      <w:r>
        <w:rPr>
          <w:sz w:val="15"/>
          <w:vertAlign w:val="superscript"/>
        </w:rPr>
        <w:t>P21</w:t>
      </w:r>
      <w:r>
        <w:t>。简言之，洗钱是清洗犯罪所得，而最初产生非法收益的那个罪行就是上游犯罪。FATF确定了21类金融机构须关注的上游犯罪</w:t>
      </w:r>
      <w:r>
        <w:rPr>
          <w:sz w:val="15"/>
          <w:vertAlign w:val="superscript"/>
        </w:rPr>
        <w:t>P21</w:t>
      </w:r>
      <w:r>
        <w:t>，教材在P16举例的上游犯罪包括军火销售、毒品贩运、走私、贪污、内幕交易、贿赂和欺诈</w:t>
      </w:r>
      <w:r>
        <w:rPr>
          <w:sz w:val="15"/>
          <w:vertAlign w:val="superscript"/>
        </w:rPr>
        <w:t>P16</w:t>
      </w:r>
      <w:r>
        <w:t>，并在P21-22逐一列出FATF的21类清单：清单第1项即为参与有组织犯罪集团和敲诈勒索</w:t>
      </w:r>
      <w:r>
        <w:rPr>
          <w:sz w:val="15"/>
          <w:vertAlign w:val="superscript"/>
        </w:rPr>
        <w:t>P21</w:t>
      </w:r>
      <w:r>
        <w:t>，第8项为腐败和贿赂</w:t>
      </w:r>
      <w:r>
        <w:rPr>
          <w:sz w:val="15"/>
          <w:vertAlign w:val="superscript"/>
        </w:rPr>
        <w:t>P22</w:t>
      </w:r>
      <w:r>
        <w:t>，第9项为欺诈</w:t>
      </w:r>
      <w:r>
        <w:rPr>
          <w:sz w:val="15"/>
          <w:vertAlign w:val="superscript"/>
        </w:rPr>
        <w:t>P22</w:t>
      </w:r>
      <w:r>
        <w:t>。本题选项C、D、E分别精确对应这三类，均有教材原文作为直接证据。题干要求选出“可能构成上游犯罪”的活动，因此可直接依据教材的明确归属做出判断。</w:t>
      </w:r>
    </w:p>
    <w:p>
      <w:pPr>
        <w:spacing w:before="120" w:after="40"/>
      </w:pPr>
      <w:r>
        <w:rPr>
          <w:b/>
          <w:sz w:val="21"/>
          <w:shd w:fill="D6E4F0" w:val="clear"/>
        </w:rPr>
        <w:t>教材原句</w:t>
      </w:r>
    </w:p>
    <w:p>
      <w:pPr>
        <w:spacing w:line="360" w:lineRule="auto" w:after="40"/>
        <w:ind w:firstLine="420"/>
      </w:pPr>
      <w:r>
        <w:t>"Predicate crimes are specified unlawful activities whose proceeds can give rise to prosecution for money laundering."</w:t>
      </w:r>
    </w:p>
    <w:p>
      <w:pPr>
        <w:spacing w:before="120" w:after="40"/>
      </w:pPr>
      <w:r>
        <w:rPr>
          <w:b/>
          <w:sz w:val="21"/>
          <w:shd w:fill="D6E4F0" w:val="clear"/>
        </w:rPr>
        <w:t>A项错误</w:t>
      </w:r>
    </w:p>
    <w:p>
      <w:pPr>
        <w:spacing w:line="360" w:lineRule="auto" w:after="40"/>
        <w:ind w:firstLine="420"/>
      </w:pPr>
      <w:r>
        <w:t>袭击属于暴力人身犯罪，教材列出的FATF上游犯罪清单中包含的是“谋杀和严重身体伤害”，且特别强调其动机为“financial gain”</w:t>
      </w:r>
      <w:r>
        <w:rPr>
          <w:sz w:val="15"/>
          <w:vertAlign w:val="superscript"/>
        </w:rPr>
        <w:t>P22</w:t>
      </w:r>
      <w:r>
        <w:t>。单纯的袭击行为通常不以获取经济收益为目的，因此无法产生需要清洗的非法所得，在教材框架下匹配度远不如腐败、欺诈等典型获利型犯罪。</w:t>
      </w:r>
    </w:p>
    <w:p>
      <w:pPr>
        <w:spacing w:before="120" w:after="40"/>
      </w:pPr>
      <w:r>
        <w:rPr>
          <w:b/>
          <w:sz w:val="21"/>
          <w:shd w:fill="D6E4F0" w:val="clear"/>
        </w:rPr>
        <w:t>B项错误</w:t>
      </w:r>
    </w:p>
    <w:p>
      <w:pPr>
        <w:spacing w:line="360" w:lineRule="auto" w:after="40"/>
        <w:ind w:firstLine="420"/>
      </w:pPr>
      <w:r>
        <w:t>纵火罪同样属于暴力或财产破坏型犯罪，不在教材列举的FATF 21类上游犯罪清单中。上游犯罪的核心特征是能产生“proceeds”（收益）供后续清洗</w:t>
      </w:r>
      <w:r>
        <w:rPr>
          <w:sz w:val="15"/>
          <w:vertAlign w:val="superscript"/>
        </w:rPr>
        <w:t>P21</w:t>
      </w:r>
      <w:r>
        <w:t>，纵火通常不具备获取经济收益的特征。虽然特定情形下纵火可能涉及骗保等财务动机，但教材在列示上游犯罪时并未将其纳入，相比之下，欺诈、腐败等在教材中有明确归属的选项与题干条件更为吻合。</w:t>
      </w:r>
    </w:p>
    <w:p>
      <w:pPr>
        <w:spacing w:before="120" w:after="40"/>
      </w:pPr>
      <w:r>
        <w:rPr>
          <w:b/>
          <w:sz w:val="21"/>
          <w:shd w:fill="D6E4F0" w:val="clear"/>
        </w:rPr>
        <w:t>易错提醒</w:t>
      </w:r>
    </w:p>
    <w:p>
      <w:pPr>
        <w:spacing w:line="360" w:lineRule="auto" w:after="40"/>
        <w:ind w:firstLine="420"/>
      </w:pPr>
      <w:r>
        <w:t>不是所有的犯罪都是上游犯罪。上游犯罪的核心判断标准是：该犯罪活动是否产生可用于清洗的“非法收益”（proceeds）。暴力犯罪（如袭击、纵火）虽然违法，但通常不以获取经济利益为目的，因此不产生需要洗钱的资金，一般不列为反洗钱语境下的上游犯罪。教材在列举暴力类上游犯罪时，也特别限定为“motivated by financial gain”的谋杀和严重身体伤害</w:t>
      </w:r>
      <w:r>
        <w:rPr>
          <w:sz w:val="15"/>
          <w:vertAlign w:val="superscript"/>
        </w:rPr>
        <w:t>P22</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