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CH01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According to the Financial Action Task Force (FATF), potential risk indicators related to money laundering proceeds from environmental crimes include: (Select Two.) ( )</w:t>
      </w:r>
    </w:p>
    <w:p>
      <w:pPr>
        <w:spacing w:line="360" w:lineRule="auto" w:after="20"/>
        <w:ind w:firstLine="283"/>
      </w:pPr>
      <w:r>
        <w:t>A. Waste management sector companies based in high-risk jurisdictions with payments or trade invoices for types of waste aligned with those they are authorized to process</w:t>
      </w:r>
    </w:p>
    <w:p>
      <w:pPr>
        <w:spacing w:line="360" w:lineRule="auto" w:after="20"/>
        <w:ind w:firstLine="283"/>
      </w:pPr>
      <w:r>
        <w:t>B. Frequent payments from companies in the logging, milling, or waste trade sectors to individuals or beneficiaries unrelated to the legal person activity or business</w:t>
      </w:r>
    </w:p>
    <w:p>
      <w:pPr>
        <w:spacing w:line="360" w:lineRule="auto" w:after="20"/>
        <w:ind w:firstLine="283"/>
      </w:pPr>
      <w:r>
        <w:t>C. Unexplained wealth and cash transfers involving senior officials or politically exposed persons (or their family members) with a position of responsibility related to the management or preservation of natural resources</w:t>
      </w:r>
    </w:p>
    <w:p>
      <w:pPr>
        <w:spacing w:line="360" w:lineRule="auto" w:after="20"/>
        <w:ind w:firstLine="283"/>
      </w:pPr>
      <w:r>
        <w:t>D. Small cash transfers from cash-intensive businesses to beneficiaries in areas known as sources of gold mining, illegal logging, and illegal land clearing</w:t>
      </w:r>
    </w:p>
    <w:p>
      <w:pPr>
        <w:spacing w:line="360" w:lineRule="auto" w:after="40"/>
      </w:pPr>
      <w:r>
        <w:t>答案：B、C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识别环境犯罪所得洗钱的潜在风险指标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FATF指出，环境犯罪为犯罪组织提供同时赚取和清洗资金的机会</w:t>
      </w:r>
      <w:r>
        <w:rPr>
          <w:sz w:val="15"/>
          <w:vertAlign w:val="superscript"/>
        </w:rPr>
        <w:t>P33</w:t>
      </w:r>
      <w:r>
        <w:t>。犯罪组织可能部分拥有伐木、废料贸易等幌子公司，通过虚增合同和共谋账户持有人进行离析</w:t>
      </w:r>
      <w:r>
        <w:rPr>
          <w:sz w:val="15"/>
          <w:vertAlign w:val="superscript"/>
        </w:rPr>
        <w:t>P33</w:t>
      </w:r>
      <w:r>
        <w:t>，向与业务无关的个人频繁付款正是转移非法资金的典型红旗。此外，环境犯罪常伴随贿赂与腐败，特别是涉及负责自然资源管理的高级官员或PEP，无法解释的财富与现金转移构成洗钱风险指标</w:t>
      </w:r>
      <w:r>
        <w:rPr>
          <w:sz w:val="15"/>
          <w:vertAlign w:val="superscript"/>
        </w:rPr>
        <w:t>P217</w:t>
      </w:r>
      <w:r>
        <w:t>。因此B和C正确。A中废物类型与授权一致属正常业务，不产生风险信号。D中现金密集型企业向非法开采地区小额转账，虽可辅助洗钱，但不具备环境犯罪洗钱中常见的虚增合同和贿赂特征，匹配度低于B和C。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"TCOs and other criminal organizations are constantly looking for ways to supplement their income, and environmental crimes offer the opportunity to both earn and launder funds simultaneously."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废物类型与授权一致是正常经营表现，并非潜在洗钱风险指标。环境犯罪洗钱手法的核心是偏离授权范围的虚增合同</w:t>
      </w:r>
      <w:r>
        <w:rPr>
          <w:sz w:val="15"/>
          <w:vertAlign w:val="superscript"/>
        </w:rPr>
        <w:t>P33</w:t>
      </w:r>
      <w:r>
        <w:t>，A描述的情形恰与之相反，故该选项不符合FATF定义的风险指标。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现金密集型企业向非法采矿地区的小额转账可发生在多种犯罪中，而环境犯罪洗钱风险更直接体现在向无关方的付款和官员腐败上。教材P33强调虚增合同与离析，P217强调贿赂，B和C与这些特征匹配度更高，D的小额模式不如其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</w:t>
      </w:r>
    </w:p>
    <w:p>
      <w:pPr>
        <w:spacing w:line="360" w:lineRule="auto" w:after="40"/>
        <w:ind w:firstLine="420"/>
      </w:pPr>
      <w:r>
        <w:t>环境犯罪的洗钱风险常与虚增合同、向无关方付款及官员腐败相关，而非所有涉及资源行业的可疑交易都属此类。小额现金转移可能是一般洗钱手法，不属于环境犯罪特有指标。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