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Which red flag is most relevant to money laundering through capital markets? ( )</w:t>
      </w:r>
    </w:p>
    <w:p>
      <w:pPr>
        <w:spacing w:line="360" w:lineRule="auto" w:after="20"/>
        <w:ind w:firstLine="283"/>
      </w:pPr>
      <w:r>
        <w:t>A. A low-priced security sees a sudden spike in investor demand with a rising price</w:t>
      </w:r>
    </w:p>
    <w:p>
      <w:pPr>
        <w:spacing w:line="360" w:lineRule="auto" w:after="20"/>
        <w:ind w:firstLine="283"/>
      </w:pPr>
      <w:r>
        <w:t>B. A trading customer maintains a portfolio of securities concentrated in one specific emerging market</w:t>
      </w:r>
    </w:p>
    <w:p>
      <w:pPr>
        <w:spacing w:line="360" w:lineRule="auto" w:after="20"/>
        <w:ind w:firstLine="283"/>
      </w:pPr>
      <w:r>
        <w:t>C. A firm sees an unexpected increase in demand for electronically traded funds</w:t>
      </w:r>
    </w:p>
    <w:p>
      <w:pPr>
        <w:spacing w:line="360" w:lineRule="auto" w:after="20"/>
        <w:ind w:firstLine="283"/>
      </w:pPr>
      <w:r>
        <w:t>D. A security sees a transaction pattern of a steady decrease in both trading volume and prices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识别资本市场中异常交易模式作为洗钱红旗信号</w:t>
      </w:r>
    </w:p>
    <w:p>
      <w:pPr>
        <w:spacing w:before="120" w:after="40"/>
      </w:pPr>
      <w:r>
        <w:rPr>
          <w:b/>
          <w:sz w:val="21"/>
          <w:shd w:fill="D6E4F0" w:val="clear"/>
        </w:rPr>
        <w:t>核心解析</w:t>
      </w:r>
    </w:p>
    <w:p>
      <w:pPr>
        <w:spacing w:line="360" w:lineRule="auto" w:after="40"/>
        <w:ind w:firstLine="420"/>
      </w:pPr>
      <w:r>
        <w:t>教材将“异常交易模式”列为洗钱风险信号，包括对手方集中、异常盈亏率或中性化活动等</w:t>
      </w:r>
      <w:r>
        <w:rPr>
          <w:sz w:val="15"/>
          <w:vertAlign w:val="superscript"/>
        </w:rPr>
        <w:t>P66</w:t>
      </w:r>
      <w:r>
        <w:t>。在资本市场中，证券市场尤其容易在离析和融合阶段被利用——复杂金融产品、高交易量和快速执行速度为洗钱创造了条件</w:t>
      </w:r>
      <w:r>
        <w:rPr>
          <w:sz w:val="15"/>
          <w:vertAlign w:val="superscript"/>
        </w:rPr>
        <w:t>P104</w:t>
      </w:r>
      <w:r>
        <w:t>。一只低价股突然受到投资者追捧、股价飙升，符合“异常交易模式”的特征。这种没有基本面支撑的突然拉升，可能指向通过预先安排的交易人为制造虚假交易量、抬高价格后卖出，从而将非法资金混入看似合法的交易收益中</w:t>
      </w:r>
      <w:r>
        <w:rPr>
          <w:sz w:val="15"/>
          <w:vertAlign w:val="superscript"/>
        </w:rPr>
        <w:t>P66</w:t>
      </w:r>
      <w:r>
        <w:t>。相比之下，其他选项所描述的场景——集中在某一市场、电子交易基金需求增加、或量价持续下降——在教材中缺乏对应的洗钱红旗特征描述，与“异常交易模式”的匹配度明显不如A选项直接。</w:t>
      </w:r>
    </w:p>
    <w:p>
      <w:pPr>
        <w:spacing w:before="120" w:after="40"/>
      </w:pPr>
      <w:r>
        <w:rPr>
          <w:b/>
          <w:sz w:val="21"/>
          <w:shd w:fill="D6E4F0" w:val="clear"/>
        </w:rPr>
        <w:t>教材原句</w:t>
      </w:r>
    </w:p>
    <w:p>
      <w:pPr>
        <w:spacing w:line="360" w:lineRule="auto" w:after="40"/>
        <w:ind w:firstLine="420"/>
      </w:pPr>
      <w:r>
        <w:t>"Unusual trading patterns such as counterparty concentration, unusual winloss rates, or flat or neutralizing activity."</w:t>
      </w:r>
    </w:p>
    <w:p>
      <w:pPr>
        <w:spacing w:before="120" w:after="40"/>
      </w:pPr>
      <w:r>
        <w:rPr>
          <w:b/>
          <w:sz w:val="21"/>
          <w:shd w:fill="D6E4F0" w:val="clear"/>
        </w:rPr>
        <w:t>B项错误</w:t>
      </w:r>
    </w:p>
    <w:p>
      <w:pPr>
        <w:spacing w:line="360" w:lineRule="auto" w:after="40"/>
        <w:ind w:firstLine="420"/>
      </w:pPr>
      <w:r>
        <w:t>题干条件更直接匹配教材对“异常交易模式”的定义</w:t>
      </w:r>
      <w:r>
        <w:rPr>
          <w:sz w:val="15"/>
          <w:vertAlign w:val="superscript"/>
        </w:rPr>
        <w:t>P66</w:t>
      </w:r>
      <w:r>
        <w:t>，而非投资组合的地域集中。持有集中于某一新兴市场的证券本身是一种投资策略选择，教材未将其列为洗钱红旗信号，题干未提供该集中持有存在异常活动特征的额外要素。</w:t>
      </w:r>
    </w:p>
    <w:p>
      <w:pPr>
        <w:spacing w:before="120" w:after="40"/>
      </w:pPr>
      <w:r>
        <w:rPr>
          <w:b/>
          <w:sz w:val="21"/>
          <w:shd w:fill="D6E4F0" w:val="clear"/>
        </w:rPr>
        <w:t>C项错误</w:t>
      </w:r>
    </w:p>
    <w:p>
      <w:pPr>
        <w:spacing w:line="360" w:lineRule="auto" w:after="40"/>
        <w:ind w:firstLine="420"/>
      </w:pPr>
      <w:r>
        <w:t>教材指出电子交易平台的“高速度和高交易量”增加了监控难度</w:t>
      </w:r>
      <w:r>
        <w:rPr>
          <w:sz w:val="15"/>
          <w:vertAlign w:val="superscript"/>
        </w:rPr>
        <w:t>P104</w:t>
      </w:r>
      <w:r>
        <w:t>，但并未将“电子交易基金需求意外增加”本身界定为洗钱红旗。需求增加可能源于正常市场因素，题干未提供该需求增长存在异常特征的证据，匹配度不如低价股突然飙升直接体现的“异常交易模式”。</w:t>
      </w:r>
    </w:p>
    <w:p>
      <w:pPr>
        <w:spacing w:before="120" w:after="40"/>
      </w:pPr>
      <w:r>
        <w:rPr>
          <w:b/>
          <w:sz w:val="21"/>
          <w:shd w:fill="D6E4F0" w:val="clear"/>
        </w:rPr>
        <w:t>D项错误</w:t>
      </w:r>
    </w:p>
    <w:p>
      <w:pPr>
        <w:spacing w:line="360" w:lineRule="auto" w:after="40"/>
        <w:ind w:firstLine="420"/>
      </w:pPr>
      <w:r>
        <w:t>教材将洗钱风险信号界定为“异常交易模式”</w:t>
      </w:r>
      <w:r>
        <w:rPr>
          <w:sz w:val="15"/>
          <w:vertAlign w:val="superscript"/>
        </w:rPr>
        <w:t>P66</w:t>
      </w:r>
      <w:r>
        <w:t>，而成交量和价格双双持续下降是正常的市场回调行为，属于可预期的交易模式而非异常模式。与之相比，低价股在无明显利好的情况下突然飙升，更符合作教材定义的异常交易活动特征。</w:t>
      </w:r>
    </w:p>
    <w:p>
      <w:pPr>
        <w:spacing w:before="120" w:after="40"/>
      </w:pPr>
      <w:r>
        <w:rPr>
          <w:b/>
          <w:sz w:val="21"/>
          <w:shd w:fill="D6E4F0" w:val="clear"/>
        </w:rPr>
        <w:t>易错提醒</w:t>
      </w:r>
    </w:p>
    <w:p>
      <w:pPr>
        <w:spacing w:line="360" w:lineRule="auto" w:after="40"/>
        <w:ind w:firstLine="420"/>
      </w:pPr>
      <w:r>
        <w:t>区分普通的投资回报与洗钱红旗：正常的投资可以产生合理回报，但异常的大幅波动——尤其是缺乏基本面支撑的低价股突然飙升——与教材描述的“预先安排的交易可制造虚假交易量并掩盖资金来源”</w:t>
      </w:r>
      <w:r>
        <w:rPr>
          <w:sz w:val="15"/>
          <w:vertAlign w:val="superscript"/>
        </w:rPr>
        <w:t>P66</w:t>
      </w:r>
      <w:r>
        <w:t>这一洗钱手法高度吻合。关键在于价格波动是否有合理的市场解释，而非波动本身。</w:t>
      </w:r>
    </w:p>
    <w:p>
      <w:pPr>
        <w:spacing w:line="360" w:lineRule="auto" w:after="120"/>
      </w:pPr>
      <w:r/>
    </w:p>
    <w:p>
      <w:pPr>
        <w:spacing w:line="360" w:lineRule="auto" w:after="40"/>
      </w:pPr>
      <w:r>
        <w:t>2. A law enforcement action alleged that on several trading days over the course of two months, defendants engaged in a series of copper, gold, crude oil, and natural gas futures transactions on an electronic trading platform. One defendant repeatedly bought futures contracts at low prices from the other and then immediately sold them back at higher prices. As a result, one defendant effectively pocketed the same amount as the other lost even though there were no changes in the open positions held by either defendant. What is a name for this typology? ( )</w:t>
      </w:r>
    </w:p>
    <w:p>
      <w:pPr>
        <w:spacing w:line="360" w:lineRule="auto" w:after="20"/>
        <w:ind w:firstLine="283"/>
      </w:pPr>
      <w:r>
        <w:t>A. Short position</w:t>
      </w:r>
    </w:p>
    <w:p>
      <w:pPr>
        <w:spacing w:line="360" w:lineRule="auto" w:after="20"/>
        <w:ind w:firstLine="283"/>
      </w:pPr>
      <w:r>
        <w:t>B. Reverse flip</w:t>
      </w:r>
    </w:p>
    <w:p>
      <w:pPr>
        <w:spacing w:line="360" w:lineRule="auto" w:after="20"/>
        <w:ind w:firstLine="283"/>
      </w:pPr>
      <w:r>
        <w:t>C. Bid-ask spread</w:t>
      </w:r>
    </w:p>
    <w:p>
      <w:pPr>
        <w:spacing w:line="360" w:lineRule="auto" w:after="20"/>
        <w:ind w:firstLine="283"/>
      </w:pPr>
      <w:r>
        <w:t>D. Wash trading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识别通过预先安排的自循环交易制造虚假成交量的洗单手法</w:t>
      </w:r>
    </w:p>
    <w:p>
      <w:pPr>
        <w:spacing w:before="120" w:after="40"/>
      </w:pPr>
      <w:r>
        <w:rPr>
          <w:b/>
          <w:sz w:val="21"/>
          <w:shd w:fill="D6E4F0" w:val="clear"/>
        </w:rPr>
        <w:t>核心解析</w:t>
      </w:r>
    </w:p>
    <w:p>
      <w:pPr>
        <w:spacing w:line="360" w:lineRule="auto" w:after="40"/>
        <w:ind w:firstLine="420"/>
      </w:pPr>
      <w:r>
        <w:t>教材指出，预先安排的交易能够制造虚假交易量并掩盖资金来源</w:t>
      </w:r>
      <w:r>
        <w:rPr>
          <w:sz w:val="15"/>
          <w:vertAlign w:val="superscript"/>
        </w:rPr>
        <w:t>P66</w:t>
      </w:r>
      <w:r>
        <w:t>。本题中，两名被告在多个交易日里反复以低价买入、高价卖回同一对手方的铜、黄金、原油和天然气期货合约，双方持仓量始终未变，仅发生一名被告的盈利与另一名被告等额亏损的资金转移。这种没有实际风险转移、纯粹在关联账户间对倒的交易模式，正是教材所描述的预先安排交易，其本质属于“洗单交易（wash trading）”。</w:t>
      </w:r>
    </w:p>
    <w:p>
      <w:pPr>
        <w:spacing w:before="120" w:after="40"/>
      </w:pPr>
      <w:r>
        <w:rPr>
          <w:b/>
          <w:sz w:val="21"/>
          <w:shd w:fill="D6E4F0" w:val="clear"/>
        </w:rPr>
        <w:t>教材原句</w:t>
      </w:r>
    </w:p>
    <w:p>
      <w:pPr>
        <w:spacing w:line="360" w:lineRule="auto" w:after="40"/>
        <w:ind w:firstLine="420"/>
      </w:pPr>
      <w:r>
        <w:t>"Pre-arranged trading that can create artificial trading volumes and obscure the origin of funds."</w:t>
      </w:r>
    </w:p>
    <w:p>
      <w:pPr>
        <w:spacing w:before="120" w:after="40"/>
      </w:pPr>
      <w:r>
        <w:rPr>
          <w:b/>
          <w:sz w:val="21"/>
          <w:shd w:fill="D6E4F0" w:val="clear"/>
        </w:rPr>
        <w:t>A项错误</w:t>
      </w:r>
    </w:p>
    <w:p>
      <w:pPr>
        <w:spacing w:line="360" w:lineRule="auto" w:after="40"/>
        <w:ind w:firstLine="420"/>
      </w:pPr>
      <w:r>
        <w:t>“空头头寸”仅指预期价格下跌而卖出的持仓方向，无法解释题干中双向反复交易、持仓不发生变化且故意制造对手方亏损的操纵行为，匹配度不如洗单交易。</w:t>
      </w:r>
    </w:p>
    <w:p>
      <w:pPr>
        <w:spacing w:before="120" w:after="40"/>
      </w:pPr>
      <w:r>
        <w:rPr>
          <w:b/>
          <w:sz w:val="21"/>
          <w:shd w:fill="D6E4F0" w:val="clear"/>
        </w:rPr>
        <w:t>B项错误</w:t>
      </w:r>
    </w:p>
    <w:p>
      <w:pPr>
        <w:spacing w:line="360" w:lineRule="auto" w:after="40"/>
        <w:ind w:firstLine="420"/>
      </w:pPr>
      <w:r>
        <w:t>“反向翻转”在教材洗钱类型学中未作为独立操纵手法出现，题干也未提供与该术语对应的交易结构特征，题干条件更直接指向教材载明的预先安排交易。</w:t>
      </w:r>
    </w:p>
    <w:p>
      <w:pPr>
        <w:spacing w:before="120" w:after="40"/>
      </w:pPr>
      <w:r>
        <w:rPr>
          <w:b/>
          <w:sz w:val="21"/>
          <w:shd w:fill="D6E4F0" w:val="clear"/>
        </w:rPr>
        <w:t>C项错误</w:t>
      </w:r>
    </w:p>
    <w:p>
      <w:pPr>
        <w:spacing w:line="360" w:lineRule="auto" w:after="40"/>
        <w:ind w:firstLine="420"/>
      </w:pPr>
      <w:r>
        <w:t>“买卖价差”是买方报价与卖方报价之间的正常市场差额，属于交易成本概念，不涉及人为制造虚假交易和定向转移资金，不符合题干描述的操纵模式。</w:t>
      </w:r>
    </w:p>
    <w:p>
      <w:pPr>
        <w:spacing w:line="360" w:lineRule="auto" w:after="120"/>
      </w:pPr>
      <w:r/>
    </w:p>
    <w:p>
      <w:pPr>
        <w:spacing w:line="360" w:lineRule="auto" w:after="40"/>
      </w:pPr>
      <w:r>
        <w:t>3. Money services businesses (MSBs), payment service providers, and e-commerce platforms usually have a high volume of daily transactions. What are the risks associated with these types of businesses? (Choose Two.) ( )</w:t>
      </w:r>
    </w:p>
    <w:p>
      <w:pPr>
        <w:spacing w:line="360" w:lineRule="auto" w:after="20"/>
        <w:ind w:firstLine="283"/>
      </w:pPr>
      <w:r>
        <w:t>A. These businesses are all cash intensive, increasing the risk of financial crime.</w:t>
      </w:r>
    </w:p>
    <w:p>
      <w:pPr>
        <w:spacing w:line="360" w:lineRule="auto" w:after="20"/>
        <w:ind w:firstLine="283"/>
      </w:pPr>
      <w:r>
        <w:t>B. KYC challenges arise because e-commerce platforms face global customers, making customer due diligence complex and resource intensive.</w:t>
      </w:r>
    </w:p>
    <w:p>
      <w:pPr>
        <w:spacing w:line="360" w:lineRule="auto" w:after="20"/>
        <w:ind w:firstLine="283"/>
      </w:pPr>
      <w:r>
        <w:t>C. These businesses are highly regulated and therefore have no reason to be non-compliant, as this would put them at risk of sanctions and fines.</w:t>
      </w:r>
    </w:p>
    <w:p>
      <w:pPr>
        <w:spacing w:line="360" w:lineRule="auto" w:after="20"/>
        <w:ind w:firstLine="283"/>
      </w:pPr>
      <w:r>
        <w:t>D. Criminals can use identity fraud to complete the KYC process for layering purposes.</w:t>
      </w:r>
    </w:p>
    <w:p>
      <w:pPr>
        <w:spacing w:line="360" w:lineRule="auto" w:after="20"/>
        <w:ind w:firstLine="283"/>
      </w:pPr>
      <w:r>
        <w:t>E. These businesses' settlement systems are not sufficiently robust to handle high transaction volumes.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识别非传统金融机构面临的 KYC 挑战与身份欺诈风险</w:t>
      </w:r>
    </w:p>
    <w:p>
      <w:pPr>
        <w:spacing w:before="120" w:after="40"/>
      </w:pPr>
      <w:r>
        <w:rPr>
          <w:b/>
          <w:sz w:val="21"/>
          <w:shd w:fill="D6E4F0" w:val="clear"/>
        </w:rPr>
        <w:t>核心解析</w:t>
      </w:r>
    </w:p>
    <w:p>
      <w:pPr>
        <w:spacing w:line="360" w:lineRule="auto" w:after="40"/>
        <w:ind w:firstLine="420"/>
      </w:pPr>
      <w:r>
        <w:t>题干涉及货币服务企业(MSB)、支付服务提供商(PSP)和电子商务平台这三类非传统金融机构。根据教材，MSB 面临复杂的司法许可要求，且跨境交易因不同司法管辖区法律差异而复杂化(P95)；PSP 的服务复杂多样且多为远程交易，必须进行风险管理(P92)。电子商务平台亦面向全球客户，跨司法管辖区运营。这些特征共同指向一个核心风险：面向全球客户的远程、跨境业务模式使客户尽职调查(CDD)变得复杂且耗费资源，即选项 B 所述的 KYC 挑战。同时，远程开户的验证过程本身就易被犯罪分子利用假身份或盗用身份来绕过 KYC 流程(P63)，此即选项 D 所述的身份欺诈风险。教材进一步指出，电子 KYC 需借助生物识别等技术来预防和检测身份欺诈(P406)，这恰恰反证了身份欺诈是此类业务模式面临的一项固有风险。选项 D 中“用于资金分层的目的”与犯罪分子利用此类平台进行资金清洗的洗钱手法一致。</w:t>
      </w:r>
    </w:p>
    <w:p>
      <w:pPr>
        <w:spacing w:before="120" w:after="40"/>
      </w:pPr>
      <w:r>
        <w:rPr>
          <w:b/>
          <w:sz w:val="21"/>
          <w:shd w:fill="D6E4F0" w:val="clear"/>
        </w:rPr>
        <w:t>教材原句</w:t>
      </w:r>
    </w:p>
    <w:p>
      <w:pPr>
        <w:spacing w:line="360" w:lineRule="auto" w:after="40"/>
        <w:ind w:firstLine="420"/>
      </w:pPr>
      <w:r>
        <w:t>"Remote onboarding: The use of digital channels for onboarding new customers can introduce additional risks to the verification process, making it easier for criminals to use fake or stolen identities and exploit weaknesses in technology."</w:t>
      </w:r>
    </w:p>
    <w:p>
      <w:pPr>
        <w:spacing w:before="120" w:after="40"/>
      </w:pPr>
      <w:r>
        <w:rPr>
          <w:b/>
          <w:sz w:val="21"/>
          <w:shd w:fill="D6E4F0" w:val="clear"/>
        </w:rPr>
        <w:t>A项错误</w:t>
      </w:r>
    </w:p>
    <w:p>
      <w:pPr>
        <w:spacing w:line="360" w:lineRule="auto" w:after="40"/>
        <w:ind w:firstLine="420"/>
      </w:pPr>
      <w:r>
        <w:t>教材将“现金密集”归因于这些企业所服务的“无银行账户客户”群体依赖现金交易(P95)，而非企业本身的性质。题干所列的支付服务提供商和电子商务平台本身即处理电子支付，并非现金密集型企业，故该选项对题干主体的描述存在偏差。</w:t>
      </w:r>
    </w:p>
    <w:p>
      <w:pPr>
        <w:spacing w:before="120" w:after="40"/>
      </w:pPr>
      <w:r>
        <w:rPr>
          <w:b/>
          <w:sz w:val="21"/>
          <w:shd w:fill="D6E4F0" w:val="clear"/>
        </w:rPr>
        <w:t>C项错误</w:t>
      </w:r>
    </w:p>
    <w:p>
      <w:pPr>
        <w:spacing w:line="360" w:lineRule="auto" w:after="40"/>
        <w:ind w:firstLine="420"/>
      </w:pPr>
      <w:r>
        <w:t>教材指出 MSB 面临复杂的跨司法管辖区合规义务，违规可能面临罚款甚至吊销执照(P95)。“受到严格监管”与“没有理由不合规”之间并无必然逻辑，监管严密本身恰恰说明合规存在客观挑战。题干更直接指向这些商业模式本身固有的风险（如 B、D 项所述），而非探讨企业对待合规的主观态度。</w:t>
      </w:r>
    </w:p>
    <w:p>
      <w:pPr>
        <w:spacing w:before="120" w:after="40"/>
      </w:pPr>
      <w:r>
        <w:rPr>
          <w:b/>
          <w:sz w:val="21"/>
          <w:shd w:fill="D6E4F0" w:val="clear"/>
        </w:rPr>
        <w:t>E项错误</w:t>
      </w:r>
    </w:p>
    <w:p>
      <w:pPr>
        <w:spacing w:line="360" w:lineRule="auto" w:after="40"/>
        <w:ind w:firstLine="420"/>
      </w:pPr>
      <w:r>
        <w:t>教材指出 MSB 和 PSP 处理大量小额交易，需要比企业银行更自动化的监控方法(P254)，但大型金融机构采用的先进技术完全有能力管理高交易量(P432)。“结算系统不够完善”是一种可能的运营缺陷，而非这类企业本身的固有风险特征，与题干所问的洗钱和恐怖融资风险领域匹配度不如 B、D 项直接。</w:t>
      </w:r>
    </w:p>
    <w:p>
      <w:pPr>
        <w:spacing w:before="120" w:after="40"/>
      </w:pPr>
      <w:r>
        <w:rPr>
          <w:b/>
          <w:sz w:val="21"/>
          <w:shd w:fill="D6E4F0" w:val="clear"/>
        </w:rPr>
        <w:t>易错提醒</w:t>
      </w:r>
    </w:p>
    <w:p>
      <w:pPr>
        <w:spacing w:line="360" w:lineRule="auto" w:after="40"/>
        <w:ind w:firstLine="420"/>
      </w:pPr>
      <w:r>
        <w:t>“现金密集”是教材对无银行账户客户群体的描述(P95)，而非对 MSB、PSP 或电商平台本身的定性。将服务对象的特征误归于企业自身属性，是此类题目的常见陷阱。</w:t>
      </w:r>
    </w:p>
    <w:p>
      <w:pPr>
        <w:spacing w:line="360" w:lineRule="auto" w:after="120"/>
      </w:pPr>
      <w:r/>
    </w:p>
    <w:p>
      <w:pPr>
        <w:spacing w:line="360" w:lineRule="auto" w:after="40"/>
      </w:pPr>
      <w:r>
        <w:t>4. Which red flags apply to trade-based money laundering (TBML) schemes? (Choose three.) ( )</w:t>
      </w:r>
    </w:p>
    <w:p>
      <w:pPr>
        <w:spacing w:line="360" w:lineRule="auto" w:after="20"/>
        <w:ind w:firstLine="283"/>
      </w:pPr>
      <w:r>
        <w:t>A. Use of wire transfers</w:t>
      </w:r>
    </w:p>
    <w:p>
      <w:pPr>
        <w:spacing w:line="360" w:lineRule="auto" w:after="20"/>
        <w:ind w:firstLine="283"/>
      </w:pPr>
      <w:r>
        <w:t>B. Loitering</w:t>
      </w:r>
    </w:p>
    <w:p>
      <w:pPr>
        <w:spacing w:line="360" w:lineRule="auto" w:after="20"/>
        <w:ind w:firstLine="283"/>
      </w:pPr>
      <w:r>
        <w:t>C. Instructions or involvement from third parties</w:t>
      </w:r>
    </w:p>
    <w:p>
      <w:pPr>
        <w:spacing w:line="360" w:lineRule="auto" w:after="20"/>
        <w:ind w:firstLine="283"/>
      </w:pPr>
      <w:r>
        <w:t>D. Amended letters of credit without reasonable justification</w:t>
      </w:r>
    </w:p>
    <w:p>
      <w:pPr>
        <w:spacing w:line="360" w:lineRule="auto" w:after="20"/>
        <w:ind w:firstLine="283"/>
      </w:pPr>
      <w:r>
        <w:t>E. Non-standard settlement arrangements</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贸易型洗钱（TBML）的特定警示信号识别</w:t>
      </w:r>
    </w:p>
    <w:p>
      <w:pPr>
        <w:spacing w:before="120" w:after="40"/>
      </w:pPr>
      <w:r>
        <w:rPr>
          <w:b/>
          <w:sz w:val="21"/>
          <w:shd w:fill="D6E4F0" w:val="clear"/>
        </w:rPr>
        <w:t>核心解析</w:t>
      </w:r>
    </w:p>
    <w:p>
      <w:pPr>
        <w:spacing w:line="360" w:lineRule="auto" w:after="40"/>
        <w:ind w:firstLine="420"/>
      </w:pPr>
      <w:r>
        <w:t>贸易型洗钱（TBML）指利用贸易交易虚报价格、数量或质量来掩盖犯罪所得并转移价值</w:t>
      </w:r>
      <w:r>
        <w:rPr>
          <w:sz w:val="15"/>
          <w:vertAlign w:val="superscript"/>
        </w:rPr>
        <w:t>P66</w:t>
      </w:r>
      <w:r>
        <w:t>。教材在P66列出了TBML的具体风险类型，其中明确包含：“第三方指令或参与”，因其增加复杂性、使资金来源更难追踪；“非标准结算安排”，被客户用于掩盖交易真实性质；以及信用证（L/C）被滥用于虚构贸易交易、转移非法资金。题干中的选项C“第三方的指示或参与”、选项D“无合理理由修改的信用证”、选项E“非标准结算安排”分别直接对应P66风险列表中的这三项。其中无合理理由的信用证修改正是滥用信用证伪造贸易交易的一种典型手法</w:t>
      </w:r>
      <w:r>
        <w:rPr>
          <w:sz w:val="15"/>
          <w:vertAlign w:val="superscript"/>
        </w:rPr>
        <w:t>P131</w:t>
      </w:r>
      <w:r>
        <w:t>。由此可推断，C、D、E三项均属于教材对TBML警示信号的直接界定。</w:t>
      </w:r>
    </w:p>
    <w:p>
      <w:pPr>
        <w:spacing w:before="120" w:after="40"/>
      </w:pPr>
      <w:r>
        <w:rPr>
          <w:b/>
          <w:sz w:val="21"/>
          <w:shd w:fill="D6E4F0" w:val="clear"/>
        </w:rPr>
        <w:t>A项错误</w:t>
      </w:r>
    </w:p>
    <w:p>
      <w:pPr>
        <w:spacing w:line="360" w:lineRule="auto" w:after="40"/>
        <w:ind w:firstLine="420"/>
      </w:pPr>
      <w:r>
        <w:t>电汇本身具有洗钱风险</w:t>
      </w:r>
      <w:r>
        <w:rPr>
          <w:sz w:val="15"/>
          <w:vertAlign w:val="superscript"/>
        </w:rPr>
        <w:t>P78</w:t>
      </w:r>
      <w:r>
        <w:t>，但它是通用的支付工具，并非TBML特定的警示信号类别。教材TBML风险列表中并未出现“使用电汇”，因此与正确项相比，它在本题条件下与TBML的匹配度不够直接。</w:t>
      </w:r>
    </w:p>
    <w:p>
      <w:pPr>
        <w:spacing w:before="120" w:after="40"/>
      </w:pPr>
      <w:r>
        <w:rPr>
          <w:b/>
          <w:sz w:val="21"/>
          <w:shd w:fill="D6E4F0" w:val="clear"/>
        </w:rPr>
        <w:t>B项错误</w:t>
      </w:r>
    </w:p>
    <w:p>
      <w:pPr>
        <w:spacing w:line="360" w:lineRule="auto" w:after="40"/>
        <w:ind w:firstLine="420"/>
      </w:pPr>
      <w:r>
        <w:t>滞留（Loitering）在教材中未作为TBML的警示信号出现，题干也未提供任何将滞留与贸易洗钱相关联的事实要素，不构成匹配。</w:t>
      </w:r>
    </w:p>
    <w:p>
      <w:pPr>
        <w:spacing w:before="120" w:after="40"/>
      </w:pPr>
      <w:r>
        <w:rPr>
          <w:b/>
          <w:sz w:val="21"/>
          <w:shd w:fill="D6E4F0" w:val="clear"/>
        </w:rPr>
        <w:t>易错提醒</w:t>
      </w:r>
    </w:p>
    <w:p>
      <w:pPr>
        <w:spacing w:line="360" w:lineRule="auto" w:after="40"/>
        <w:ind w:firstLine="420"/>
      </w:pPr>
      <w:r>
        <w:t>注意：电汇（wire transfer）虽然因其跨境、即时、大额等特征被教材P78列为高风险产品，但它是通用的洗钱渠道，不是TBML特有的警示信号。本题考核的是P66“贸易型洗钱风险”列表内的具体项目，而非所有与洗钱相关的风险。</w:t>
      </w:r>
    </w:p>
    <w:p>
      <w:pPr>
        <w:spacing w:line="360" w:lineRule="auto" w:after="120"/>
      </w:pPr>
      <w:r/>
    </w:p>
    <w:p>
      <w:pPr>
        <w:spacing w:line="360" w:lineRule="auto" w:after="40"/>
      </w:pPr>
      <w:r>
        <w:t>5. Potential risk indicators for a trade counterparty in trade-based money laundering include: (Select Three.) ( )</w:t>
      </w:r>
    </w:p>
    <w:p>
      <w:pPr>
        <w:spacing w:line="360" w:lineRule="auto" w:after="20"/>
        <w:ind w:firstLine="283"/>
      </w:pPr>
      <w:r>
        <w:t>A. Irregular or inconsistent trade volume and frequency that do not align with the historical trading behavior of the counterparty</w:t>
      </w:r>
    </w:p>
    <w:p>
      <w:pPr>
        <w:spacing w:line="360" w:lineRule="auto" w:after="20"/>
        <w:ind w:firstLine="283"/>
      </w:pPr>
      <w:r>
        <w:t>B. Contracts, invoices, or other trade documents containing detailed descriptions of the traded commodities</w:t>
      </w:r>
    </w:p>
    <w:p>
      <w:pPr>
        <w:spacing w:line="360" w:lineRule="auto" w:after="20"/>
        <w:ind w:firstLine="283"/>
      </w:pPr>
      <w:r>
        <w:t>C. Cash deposits or other transactions consistently below the relevant reporting thresholds</w:t>
      </w:r>
    </w:p>
    <w:p>
      <w:pPr>
        <w:spacing w:line="360" w:lineRule="auto" w:after="20"/>
        <w:ind w:firstLine="283"/>
      </w:pPr>
      <w:r>
        <w:t>D. Engaging in transactions, shipping routes, or shipping methods that are not in line with standard business practices</w:t>
      </w:r>
    </w:p>
    <w:p>
      <w:pPr>
        <w:spacing w:line="360" w:lineRule="auto" w:after="20"/>
        <w:ind w:firstLine="283"/>
      </w:pPr>
      <w:r>
        <w:t>E. Transparent pricing structures, with additional information provided to the receiving bank when price fluctuations exceed 10%</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在贸易洗钱框架下判断对手方异常行为特征</w:t>
      </w:r>
    </w:p>
    <w:p>
      <w:pPr>
        <w:spacing w:before="120" w:after="40"/>
      </w:pPr>
      <w:r>
        <w:rPr>
          <w:b/>
          <w:sz w:val="21"/>
          <w:shd w:fill="D6E4F0" w:val="clear"/>
        </w:rPr>
        <w:t>核心解析</w:t>
      </w:r>
    </w:p>
    <w:p>
      <w:pPr>
        <w:spacing w:line="360" w:lineRule="auto" w:after="40"/>
        <w:ind w:firstLine="420"/>
      </w:pPr>
      <w:r>
        <w:t>贸易型洗钱（TBML）指利用贸易交易转移价值以掩盖犯罪所得来源，其风险指标集中于交易行为与正常商业模式的偏离</w:t>
      </w:r>
      <w:r>
        <w:rPr>
          <w:sz w:val="15"/>
          <w:vertAlign w:val="superscript"/>
        </w:rPr>
        <w:t>P66</w:t>
      </w:r>
      <w:r>
        <w:t>。题干问的是“贸易对手方的潜在风险指标”，核心判断标准是该行为是否偏离了正常、可预期的商业实践。选项A描述交易量和频率与历史行为不符——这直接对应教材P66对“异常交易模式（unusual trading patterns）”的定义，是识别对手方风险的典型信号。选项C描述持续低于报告门槛的现金存款——教材在Tamayo案例</w:t>
      </w:r>
      <w:r>
        <w:rPr>
          <w:sz w:val="15"/>
          <w:vertAlign w:val="superscript"/>
        </w:rPr>
        <w:t>P19</w:t>
      </w:r>
      <w:r>
        <w:t>和NatWest案例</w:t>
      </w:r>
      <w:r>
        <w:rPr>
          <w:sz w:val="15"/>
          <w:vertAlign w:val="superscript"/>
        </w:rPr>
        <w:t>P326</w:t>
      </w:r>
      <w:r>
        <w:t>中展示了犯罪分子通过结构化（structuring）故意将存款金额控制在报告阈值以下以逃避监控的手段。虽然这两个案例不专门针对贸易场景，但“持续低于报告门槛”的行为模式本质上是规避监控的结构化操作，与贸易对手方利用现金交易掩盖非法资金流向的风险逻辑一致。选项D描述交易、运输路线或方式不符合标准商业惯例——教材P66将“非标准结算安排”（nonstandard settlement arrangements）列为TBML风险，而偏离标准商业实践的运输安排与这一风险属同一逻辑范畴，即用非常规操作掩盖交易真实性质。三个正确项的共同点是：都指向行为与“正常预期”的偏离，这是TBML风险识别的底层逻辑。</w:t>
      </w:r>
    </w:p>
    <w:p>
      <w:pPr>
        <w:spacing w:before="120" w:after="40"/>
      </w:pPr>
      <w:r>
        <w:rPr>
          <w:b/>
          <w:sz w:val="21"/>
          <w:shd w:fill="D6E4F0" w:val="clear"/>
        </w:rPr>
        <w:t>教材原句</w:t>
      </w:r>
    </w:p>
    <w:p>
      <w:pPr>
        <w:spacing w:line="360" w:lineRule="auto" w:after="40"/>
        <w:ind w:firstLine="420"/>
      </w:pPr>
      <w:r>
        <w:t>"Unusual trading patterns such as counterparty concentration, unusual winloss rates, or flat or neutralizing activity."</w:t>
      </w:r>
    </w:p>
    <w:p>
      <w:pPr>
        <w:spacing w:before="120" w:after="40"/>
      </w:pPr>
      <w:r>
        <w:rPr>
          <w:b/>
          <w:sz w:val="21"/>
          <w:shd w:fill="D6E4F0" w:val="clear"/>
        </w:rPr>
        <w:t>B项错误</w:t>
      </w:r>
    </w:p>
    <w:p>
      <w:pPr>
        <w:spacing w:line="360" w:lineRule="auto" w:after="40"/>
        <w:ind w:firstLine="420"/>
      </w:pPr>
      <w:r>
        <w:t>教材P56在丹麦银行案例中提到犯罪分子使用虚假合同和发票为交易提供合法性，但题干指向的是“风险指标”而非“正常合规要素”。包含详细商品描述的贸易单据本身是标准商业实践的构成部分，不具备风险指示功能。题干更支持将“偏离”正常单据行为的选项A或D视为风险指标。</w:t>
      </w:r>
    </w:p>
    <w:p>
      <w:pPr>
        <w:spacing w:before="120" w:after="40"/>
      </w:pPr>
      <w:r>
        <w:rPr>
          <w:b/>
          <w:sz w:val="21"/>
          <w:shd w:fill="D6E4F0" w:val="clear"/>
        </w:rPr>
        <w:t>E项错误</w:t>
      </w:r>
    </w:p>
    <w:p>
      <w:pPr>
        <w:spacing w:line="360" w:lineRule="auto" w:after="40"/>
        <w:ind w:firstLine="420"/>
      </w:pPr>
      <w:r>
        <w:t>透明的定价结构并向银行提供额外信息属于良好的风险管理和透明度实践，方向与“风险指标”相反。风险指标应指向隐蔽、异常的行为模式，而非增强透明度的行为。教材P106虽提到信息交换透明度（transparency in information exchange），但语境是托管银行了解客户所需信息，与贸易对手方风险指标无关。</w:t>
      </w:r>
    </w:p>
    <w:p>
      <w:pPr>
        <w:spacing w:before="120" w:after="40"/>
      </w:pPr>
      <w:r>
        <w:rPr>
          <w:b/>
          <w:sz w:val="21"/>
          <w:shd w:fill="D6E4F0" w:val="clear"/>
        </w:rPr>
        <w:t>易错提醒</w:t>
      </w:r>
    </w:p>
    <w:p>
      <w:pPr>
        <w:spacing w:line="360" w:lineRule="auto" w:after="40"/>
        <w:ind w:firstLine="420"/>
      </w:pPr>
      <w:r>
        <w:t>区分“正常贸易透明度措施”与“异常行为模式”：前者如详细的商品描述、透明的定价结构，是合规的良好实践；后者如不符历史模式的交易频率、持续低于报告阈值的操作、非标准运输路线，才是TBML风险指标。洗钱风险识别关注的是对“正常预期”的偏离，而非正常的商业透明度本身。教材P131将虚开发票（高开、低开、多重）列为TBML手法，而本题选项B描述的“详细描述”恰恰相反，属于正常贸易单据应具备的内容。</w:t>
      </w:r>
    </w:p>
    <w:p>
      <w:pPr>
        <w:spacing w:line="360" w:lineRule="auto" w:after="120"/>
      </w:pPr>
      <w:r/>
    </w:p>
    <w:p>
      <w:pPr>
        <w:spacing w:line="360" w:lineRule="auto" w:after="40"/>
      </w:pPr>
      <w:r>
        <w:t>6. Common risks and red flags associated with trade finance clients may include: (Choose four.) ( )</w:t>
      </w:r>
    </w:p>
    <w:p>
      <w:pPr>
        <w:spacing w:line="360" w:lineRule="auto" w:after="20"/>
        <w:ind w:firstLine="283"/>
      </w:pPr>
      <w:r>
        <w:t>A. Account activity that is not consistent with the purpose of the account</w:t>
      </w:r>
    </w:p>
    <w:p>
      <w:pPr>
        <w:spacing w:line="360" w:lineRule="auto" w:after="20"/>
        <w:ind w:firstLine="283"/>
      </w:pPr>
      <w:r>
        <w:t>B. Bills of lading matching the description of goods, quantities, and values, with transshipment details justified</w:t>
      </w:r>
    </w:p>
    <w:p>
      <w:pPr>
        <w:spacing w:line="360" w:lineRule="auto" w:after="20"/>
        <w:ind w:firstLine="283"/>
      </w:pPr>
      <w:r>
        <w:t>C. Transaction structures that appear unnecessarily complex</w:t>
      </w:r>
    </w:p>
    <w:p>
      <w:pPr>
        <w:spacing w:line="360" w:lineRule="auto" w:after="20"/>
        <w:ind w:firstLine="283"/>
      </w:pPr>
      <w:r>
        <w:t>D. Trade documents, such as invoices and letters of credit, that are not clearly worded or are in foreign languages</w:t>
      </w:r>
    </w:p>
    <w:p>
      <w:pPr>
        <w:spacing w:line="360" w:lineRule="auto" w:after="20"/>
        <w:ind w:firstLine="283"/>
      </w:pPr>
      <w:r>
        <w:t>E. Invoices with prices that are much higher than market price</w:t>
      </w:r>
    </w:p>
    <w:p>
      <w:pPr>
        <w:spacing w:line="360" w:lineRule="auto" w:after="20"/>
        <w:ind w:firstLine="283"/>
      </w:pPr>
      <w:r>
        <w:t>F. Fluctuations in prices of standard goods and services</w:t>
      </w:r>
    </w:p>
    <w:p>
      <w:pPr>
        <w:spacing w:line="360" w:lineRule="auto" w:after="40"/>
      </w:pPr>
      <w:r>
        <w:t>答案：A、C、D、E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识别贸易洗钱（TBML）中异常交易模式、单据和定价的信号</w:t>
      </w:r>
    </w:p>
    <w:p>
      <w:pPr>
        <w:spacing w:before="120" w:after="40"/>
      </w:pPr>
      <w:r>
        <w:rPr>
          <w:b/>
          <w:sz w:val="21"/>
          <w:shd w:fill="D6E4F0" w:val="clear"/>
        </w:rPr>
        <w:t>核心解析</w:t>
      </w:r>
    </w:p>
    <w:p>
      <w:pPr>
        <w:spacing w:line="360" w:lineRule="auto" w:after="40"/>
        <w:ind w:firstLine="420"/>
      </w:pPr>
      <w:r>
        <w:t>贸易融资因其交易的复杂性和全球性，容易被用于洗钱，犯罪分子通过虚报进出口价格、数量或质量来转移非法资金</w:t>
      </w:r>
      <w:r>
        <w:rPr>
          <w:sz w:val="15"/>
          <w:vertAlign w:val="superscript"/>
        </w:rPr>
        <w:t>P66</w:t>
      </w:r>
      <w:r>
        <w:t>。贸易洗钱的典型手段包括高/低开发票、重复开票和虚假货运</w:t>
      </w:r>
      <w:r>
        <w:rPr>
          <w:sz w:val="15"/>
          <w:vertAlign w:val="superscript"/>
        </w:rPr>
        <w:t>P81</w:t>
      </w:r>
      <w:r>
        <w:t>。本题中，选项C“看似不必要的复杂的交易结构”直接吻合教材所述“增加复杂性以掩盖资金来源”的风险</w:t>
      </w:r>
      <w:r>
        <w:rPr>
          <w:sz w:val="15"/>
          <w:vertAlign w:val="superscript"/>
        </w:rPr>
        <w:t>P66</w:t>
      </w:r>
      <w:r>
        <w:t>；选项E“价格远高于市场价格的发票”对应高开发票手法</w:t>
      </w:r>
      <w:r>
        <w:rPr>
          <w:sz w:val="15"/>
          <w:vertAlign w:val="superscript"/>
        </w:rPr>
        <w:t>P81、P131</w:t>
      </w:r>
      <w:r>
        <w:t>；选项A“与账户用途不符的账户活动”是通用的洗钱风险信号——交易若与客户业务画像不符，可能表明潜在的金融犯罪</w:t>
      </w:r>
      <w:r>
        <w:rPr>
          <w:sz w:val="15"/>
          <w:vertAlign w:val="superscript"/>
        </w:rPr>
        <w:t>P443</w:t>
      </w:r>
      <w:r>
        <w:t>，在贸易融资背景下同样适用；选项D“贸易单据措辞不清晰或为外文书写”虽然教材未逐字列明，但此类单据异常实质上是虚假或误导性贸易单据的一种表现，与通过信用证和发票进行欺诈的风险高度一致</w:t>
      </w:r>
      <w:r>
        <w:rPr>
          <w:sz w:val="15"/>
          <w:vertAlign w:val="superscript"/>
        </w:rPr>
        <w:t>P66、P131</w:t>
      </w:r>
      <w:r>
        <w:t>。</w:t>
      </w:r>
    </w:p>
    <w:p>
      <w:pPr>
        <w:spacing w:before="120" w:after="40"/>
      </w:pPr>
      <w:r>
        <w:rPr>
          <w:b/>
          <w:sz w:val="21"/>
          <w:shd w:fill="D6E4F0" w:val="clear"/>
        </w:rPr>
        <w:t>B项错误</w:t>
      </w:r>
    </w:p>
    <w:p>
      <w:pPr>
        <w:spacing w:line="360" w:lineRule="auto" w:after="40"/>
        <w:ind w:firstLine="420"/>
      </w:pPr>
      <w:r>
        <w:t>选项B描述的是单据“相符”“合理”的情况，属于正常贸易特征。题干问的是风险和警示信号，正常情况不符合风险信号的定义。</w:t>
      </w:r>
    </w:p>
    <w:p>
      <w:pPr>
        <w:spacing w:line="360" w:lineRule="auto" w:after="40"/>
        <w:ind w:firstLine="420"/>
      </w:pPr>
      <w:r>
        <w:t>F项错误：选项F是“标准商品和服务”的价格波动。教材指出商品价值频繁波动使资金来源难以确定，从而对洗钱具有吸引力</w:t>
      </w:r>
      <w:r>
        <w:rPr>
          <w:sz w:val="15"/>
          <w:vertAlign w:val="superscript"/>
        </w:rPr>
        <w:t>P84</w:t>
      </w:r>
      <w:r>
        <w:t>，这是商品交易本身的风险背景，但题干限定于“标准商品”，仍属正常市场现象，不是客户的异常行为信号。题干更直接支持的是价格被人为操纵偏离市场定价（选项E），而非市场价格本身波动。</w:t>
      </w:r>
    </w:p>
    <w:p>
      <w:pPr>
        <w:spacing w:before="120" w:after="40"/>
      </w:pPr>
      <w:r>
        <w:rPr>
          <w:b/>
          <w:sz w:val="21"/>
          <w:shd w:fill="D6E4F0" w:val="clear"/>
        </w:rPr>
        <w:t>易错提醒</w:t>
      </w:r>
    </w:p>
    <w:p>
      <w:pPr>
        <w:spacing w:line="360" w:lineRule="auto" w:after="40"/>
        <w:ind w:firstLine="420"/>
      </w:pPr>
      <w:r>
        <w:t>将“商品价格日常波动的市场风险背景”与“价格被人为操纵偏离公平市场价值的异常信号”相混淆——教材指出商品价值频繁波动使洗钱者有机可乘</w:t>
      </w:r>
      <w:r>
        <w:rPr>
          <w:sz w:val="15"/>
          <w:vertAlign w:val="superscript"/>
        </w:rPr>
        <w:t>P84</w:t>
      </w:r>
      <w:r>
        <w:t>，但这一背景本身不等同于客户给出的红色警戒信号；只有“价格与公平市场价值不一致”</w:t>
      </w:r>
      <w:r>
        <w:rPr>
          <w:sz w:val="15"/>
          <w:vertAlign w:val="superscript"/>
        </w:rPr>
        <w:t>P99</w:t>
      </w:r>
      <w:r>
        <w:t>才是风险信号。</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