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A long-term client of an insurance company makes changes to a policy that require payment of an additional lump sum. The amount payable is high, though within the client's means based on the KYC information collected. The payment is made via a company in another jurisdiction that is known to have lax AML controls. Which indicator of suspicious activity is present? ( )</w:t>
      </w:r>
    </w:p>
    <w:p>
      <w:pPr>
        <w:spacing w:line="360" w:lineRule="auto" w:after="20"/>
        <w:ind w:firstLine="283"/>
      </w:pPr>
      <w:r>
        <w:t>A. A long-term client wants a change to a policy that is already in force</w:t>
      </w:r>
    </w:p>
    <w:p>
      <w:pPr>
        <w:spacing w:line="360" w:lineRule="auto" w:after="20"/>
        <w:ind w:firstLine="283"/>
      </w:pPr>
      <w:r>
        <w:t>B. The payment was made via a company that appears to be owned and controlled by the client being insured</w:t>
      </w:r>
    </w:p>
    <w:p>
      <w:pPr>
        <w:spacing w:line="360" w:lineRule="auto" w:after="20"/>
        <w:ind w:firstLine="283"/>
      </w:pPr>
      <w:r>
        <w:t>C. The additional premium payable appears to be within the client's means based on the KYC information collected</w:t>
      </w:r>
    </w:p>
    <w:p>
      <w:pPr>
        <w:spacing w:line="360" w:lineRule="auto" w:after="20"/>
        <w:ind w:firstLine="283"/>
      </w:pPr>
      <w:r>
        <w:t>D. The payment was made via a company located in a jurisdiction with lax AML controls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识别通过反洗钱薄弱司法管辖区付款的可疑迹象</w:t>
      </w:r>
    </w:p>
    <w:p>
      <w:pPr>
        <w:spacing w:before="120" w:after="40"/>
      </w:pPr>
      <w:r>
        <w:rPr>
          <w:b/>
          <w:sz w:val="21"/>
          <w:shd w:fill="D6E4F0" w:val="clear"/>
        </w:rPr>
        <w:t>核心解析</w:t>
      </w:r>
    </w:p>
    <w:p>
      <w:pPr>
        <w:spacing w:line="360" w:lineRule="auto" w:after="40"/>
        <w:ind w:firstLine="420"/>
      </w:pPr>
      <w:r>
        <w:t>教材指出，来自反洗钱法规薄弱或腐败严重司法管辖区的客户呈现更高风险</w:t>
      </w:r>
      <w:r>
        <w:rPr>
          <w:sz w:val="15"/>
          <w:vertAlign w:val="superscript"/>
        </w:rPr>
        <w:t>P73</w:t>
      </w:r>
      <w:r>
        <w:t>。题干中，付款通过另一司法管辖区的公司进行，而该公司以反洗钱控制薄弱闻名。这一事实直接吻合教材对高风险司法管辖区的描述，构成可疑活动迹象。客户更改保单（A）及金额在客户能力范围内（C）均属已核实正常的情形，不构成可疑。</w:t>
      </w:r>
    </w:p>
    <w:p>
      <w:pPr>
        <w:spacing w:before="120" w:after="40"/>
      </w:pPr>
      <w:r>
        <w:rPr>
          <w:b/>
          <w:sz w:val="21"/>
          <w:shd w:fill="D6E4F0" w:val="clear"/>
        </w:rPr>
        <w:t>教材原句</w:t>
      </w:r>
    </w:p>
    <w:p>
      <w:pPr>
        <w:spacing w:line="360" w:lineRule="auto" w:after="40"/>
        <w:ind w:firstLine="420"/>
      </w:pPr>
      <w:r>
        <w:t>"For example, customers from jurisdictions with weak AML regulations or high levels of corruption present higher risks."</w:t>
      </w:r>
    </w:p>
    <w:p>
      <w:pPr>
        <w:spacing w:before="120" w:after="40"/>
      </w:pPr>
      <w:r>
        <w:rPr>
          <w:b/>
          <w:sz w:val="21"/>
          <w:shd w:fill="D6E4F0" w:val="clear"/>
        </w:rPr>
        <w:t>A项错误</w:t>
      </w:r>
    </w:p>
    <w:p>
      <w:pPr>
        <w:spacing w:line="360" w:lineRule="auto" w:after="40"/>
        <w:ind w:firstLine="420"/>
      </w:pPr>
      <w:r>
        <w:t>“一位长期客户希望对已生效的某项政策进行修改”与题干给出的“一家保险公司的长期客户对其保单进行了变更,需要支付一笔额外的款项.这笔款项数额较大,但根据所收集的客户尽职调查信息,该客户有能力支付.付款是通过另一个司法管辖区的一家公司进行的,而这家公司以反洗钱控制薄弱而闻名.存在哪种可疑活动的迹象？”不一致。</w:t>
      </w:r>
    </w:p>
    <w:p>
      <w:pPr>
        <w:spacing w:before="120" w:after="40"/>
      </w:pPr>
      <w:r>
        <w:rPr>
          <w:b/>
          <w:sz w:val="21"/>
          <w:shd w:fill="D6E4F0" w:val="clear"/>
        </w:rPr>
        <w:t>B项错误</w:t>
      </w:r>
    </w:p>
    <w:p>
      <w:pPr>
        <w:spacing w:line="360" w:lineRule="auto" w:after="40"/>
        <w:ind w:firstLine="420"/>
      </w:pPr>
      <w:r>
        <w:t>题干仅说明付款通过一家位于另一司法管辖区的公司，并未提及该公司是否由客户拥有或控制。可疑点直接落在该公司所在地反洗钱控制薄弱上，D更直接匹配教材定义的高风险管辖区特征。</w:t>
      </w:r>
    </w:p>
    <w:p>
      <w:pPr>
        <w:spacing w:before="120" w:after="40"/>
      </w:pPr>
      <w:r>
        <w:rPr>
          <w:b/>
          <w:sz w:val="21"/>
          <w:shd w:fill="D6E4F0" w:val="clear"/>
        </w:rPr>
        <w:t>C项错误</w:t>
      </w:r>
    </w:p>
    <w:p>
      <w:pPr>
        <w:spacing w:line="360" w:lineRule="auto" w:after="40"/>
        <w:ind w:firstLine="420"/>
      </w:pPr>
      <w:r>
        <w:t>“根据所收集的客户尽职调查信息,需额外支付的保费似乎在客户的支付能力范围内.”与题干给出的“一家保险公司的长期客户对其保单进行了变更,需要支付一笔额外的款项.这笔款项数额较大,但根据所收集的客户尽职调查信息,该客户有能力支付.付款是通过另一个司法管辖区的一家公司进行的,而这家公司以反洗钱控制薄弱而闻名.存在哪种可疑活动的迹象？”不一致。</w:t>
      </w:r>
    </w:p>
    <w:p>
      <w:pPr>
        <w:spacing w:before="120" w:after="40"/>
      </w:pPr>
      <w:r>
        <w:rPr>
          <w:b/>
          <w:sz w:val="21"/>
          <w:shd w:fill="D6E4F0" w:val="clear"/>
        </w:rPr>
        <w:t>易错提醒</w:t>
      </w:r>
    </w:p>
    <w:p>
      <w:pPr>
        <w:spacing w:line="360" w:lineRule="auto" w:after="40"/>
        <w:ind w:firstLine="420"/>
      </w:pPr>
      <w:r>
        <w:t>不要为题干添加未提及的情节（如该公司由客户拥有或控制）。可疑迹象必须依赖题干明确给出的风险特征，此处即付款方所在司法管辖区反洗钱控制薄弱。</w:t>
      </w:r>
    </w:p>
    <w:p>
      <w:pPr>
        <w:spacing w:line="360" w:lineRule="auto" w:after="120"/>
      </w:pPr>
      <w:r/>
    </w:p>
    <w:p>
      <w:pPr>
        <w:spacing w:line="360" w:lineRule="auto" w:after="40"/>
      </w:pPr>
      <w:r>
        <w:t>2. Which of the options below is an indicator of potential insider activity that may warrant escalation for further investigation? ( )</w:t>
      </w:r>
    </w:p>
    <w:p>
      <w:pPr>
        <w:spacing w:line="360" w:lineRule="auto" w:after="20"/>
        <w:ind w:firstLine="283"/>
      </w:pPr>
      <w:r>
        <w:t>A. A relationship manager advocates for overriding the results of the company's client risk rating model that resulted in a client's high-risk rating</w:t>
      </w:r>
    </w:p>
    <w:p>
      <w:pPr>
        <w:spacing w:line="360" w:lineRule="auto" w:after="20"/>
        <w:ind w:firstLine="283"/>
      </w:pPr>
      <w:r>
        <w:t>B. An employee shares information about the firm's risk management framework with employees of other firms at an industry convention</w:t>
      </w:r>
    </w:p>
    <w:p>
      <w:pPr>
        <w:spacing w:line="360" w:lineRule="auto" w:after="20"/>
        <w:ind w:firstLine="283"/>
      </w:pPr>
      <w:r>
        <w:t>C. An investigator does not complete the automated transaction monitoring system alerts assigned to them before the time required by company procedures</w:t>
      </w:r>
    </w:p>
    <w:p>
      <w:pPr>
        <w:spacing w:line="360" w:lineRule="auto" w:after="20"/>
        <w:ind w:firstLine="283"/>
      </w:pPr>
      <w:r>
        <w:t>D. A relationship manager violates company policy by opening an account for a customer without recording the customer's passport information for identification purposes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识别私人银行场景下关系经理因利益冲突忽视风险警示信号的指标</w:t>
      </w:r>
    </w:p>
    <w:p>
      <w:pPr>
        <w:spacing w:before="120" w:after="40"/>
      </w:pPr>
      <w:r>
        <w:rPr>
          <w:b/>
          <w:sz w:val="21"/>
          <w:shd w:fill="D6E4F0" w:val="clear"/>
        </w:rPr>
        <w:t>核心解析</w:t>
      </w:r>
    </w:p>
    <w:p>
      <w:pPr>
        <w:spacing w:line="360" w:lineRule="auto" w:after="40"/>
        <w:ind w:firstLine="420"/>
      </w:pPr>
      <w:r>
        <w:t>教材在私人银行与财富管理风险章节中指出，私人银行的金融犯罪风险部分源于关系经理与客户之间的保密与信任文化，以及薪酬结构的利益冲突——大多数关系经理的薪酬基于其带来的管理资产规模（AUM）。这种薪酬结构导致私人银行经理可能从反金融犯罪（AFC）角度不识别某些客户活动为高风险，构成固有风险。具体而言，建立和维护密切客户关系的愿望可能导致关系经理忽视警示信号。题干中，客户经理“主张推翻公司客户风险评级模型得出的某客户高风险评级的结果”，正是一个关系经理试图推翻独立风险评估结论的场景——该行为与教材描述的“关系经理因利益冲突而忽视或否认高风险信号”高度吻合。本质上，风险评级模型是中立的自动评估工具，而关系经理主张推翻其结论，暗示其可能正在为客户利益而非机构合规利益行事，这正是“潜在内幕活动”的指标，值得升级进行进一步调查。相比之下，其他选项描述的分别是信息共享（选项B）、调查时限违规（选项C）、开户身份识别疏漏（选项D），这些行为虽可能涉及合规缺陷，但与教材对“私人银行关系经理因私密关系与薪酬利益而忽视风险信号”这一特定内幕活动风险形态的匹配度不如选项A直接。</w:t>
      </w:r>
    </w:p>
    <w:p>
      <w:pPr>
        <w:spacing w:before="120" w:after="40"/>
      </w:pPr>
      <w:r>
        <w:rPr>
          <w:b/>
          <w:sz w:val="21"/>
          <w:shd w:fill="D6E4F0" w:val="clear"/>
        </w:rPr>
        <w:t>教材原句</w:t>
      </w:r>
    </w:p>
    <w:p>
      <w:pPr>
        <w:spacing w:line="360" w:lineRule="auto" w:after="40"/>
        <w:ind w:firstLine="420"/>
      </w:pPr>
      <w:r>
        <w:t>"The desire to establish and maintain close relationships with their customers might cause relationship managers to overlook warning signs."</w:t>
      </w:r>
    </w:p>
    <w:p>
      <w:pPr>
        <w:spacing w:before="120" w:after="40"/>
      </w:pPr>
      <w:r>
        <w:rPr>
          <w:b/>
          <w:sz w:val="21"/>
          <w:shd w:fill="D6E4F0" w:val="clear"/>
        </w:rPr>
        <w:t>B项错误</w:t>
      </w:r>
    </w:p>
    <w:p>
      <w:pPr>
        <w:spacing w:line="360" w:lineRule="auto" w:after="40"/>
        <w:ind w:firstLine="420"/>
      </w:pPr>
      <w:r>
        <w:t>员工在行业大会分享风险管理框架信息，更多涉及信息保密或竞争情报的合规问题。教材中与此最相关的是人力资源部门的培训职能（确保员工理解风险角色，P262），但该行为本身并未体现关系经理因维护客户关系而干预或推翻风险判断的内部活动特征，与选项A相比，题干更直接支持A而非B。</w:t>
      </w:r>
    </w:p>
    <w:p>
      <w:pPr>
        <w:spacing w:before="120" w:after="40"/>
      </w:pPr>
      <w:r>
        <w:rPr>
          <w:b/>
          <w:sz w:val="21"/>
          <w:shd w:fill="D6E4F0" w:val="clear"/>
        </w:rPr>
        <w:t>C项错误</w:t>
      </w:r>
    </w:p>
    <w:p>
      <w:pPr>
        <w:spacing w:line="360" w:lineRule="auto" w:after="40"/>
        <w:ind w:firstLine="420"/>
      </w:pPr>
      <w:r>
        <w:t>调查人员未在规定时限内完成监控系统警报的处理，属于操作合规或工作量/资源管理方面的问题。教材在交易监控控制部分描述了警报生成与审查流程</w:t>
      </w:r>
      <w:r>
        <w:rPr>
          <w:sz w:val="15"/>
          <w:vertAlign w:val="superscript"/>
        </w:rPr>
        <w:t>P328</w:t>
      </w:r>
      <w:r>
        <w:t>，但该行为更多体现为时效性执行不力，而非关系经理主动为维护客户关系而推翻已识别风险信号的内部活动行为，在教材框架下匹配度不如A。</w:t>
      </w:r>
    </w:p>
    <w:p>
      <w:pPr>
        <w:spacing w:before="120" w:after="40"/>
      </w:pPr>
      <w:r>
        <w:rPr>
          <w:b/>
          <w:sz w:val="21"/>
          <w:shd w:fill="D6E4F0" w:val="clear"/>
        </w:rPr>
        <w:t>D项错误</w:t>
      </w:r>
    </w:p>
    <w:p>
      <w:pPr>
        <w:spacing w:line="360" w:lineRule="auto" w:after="40"/>
        <w:ind w:firstLine="420"/>
      </w:pPr>
      <w:r>
        <w:t>未记录护照信息即办理开户违反了客户身份识别程序（CIP）要求，教材指出CIP需收集并核实政府签发身份证明如护照</w:t>
      </w:r>
      <w:r>
        <w:rPr>
          <w:sz w:val="15"/>
          <w:vertAlign w:val="superscript"/>
        </w:rPr>
        <w:t>P309</w:t>
      </w:r>
      <w:r>
        <w:t>。该行为属于身份识别程序执行不到位或内部控制薄弱，更接近操作违规，而非关系经理在维护客户关系动机下推翻独立风险判断的内幕活动。题干提及的“潜在内幕活动”在教材中与私人银行场景下关系经理的主观利益冲突更直接关联，而非纯操作层面的程序缺失。</w:t>
      </w:r>
    </w:p>
    <w:p>
      <w:pPr>
        <w:spacing w:before="120" w:after="40"/>
      </w:pPr>
      <w:r>
        <w:rPr>
          <w:b/>
          <w:sz w:val="21"/>
          <w:shd w:fill="D6E4F0" w:val="clear"/>
        </w:rPr>
        <w:t>易错提醒</w:t>
      </w:r>
    </w:p>
    <w:p>
      <w:pPr>
        <w:spacing w:line="360" w:lineRule="auto" w:after="40"/>
        <w:ind w:firstLine="420"/>
      </w:pPr>
      <w:r>
        <w:t>注意区分“内幕活动”与“内部控制缺陷/操作违规”。教材中与A直接关联的“内幕活动”特指关系经理因薪酬利益和客户关系维护动机而主动忽视或推翻风险信号的行为</w:t>
      </w:r>
      <w:r>
        <w:rPr>
          <w:sz w:val="15"/>
          <w:vertAlign w:val="superscript"/>
        </w:rPr>
        <w:t>P71</w:t>
      </w:r>
      <w:r>
        <w:t>；而D选项（开户身份识别疏漏）和C选项（调查超时）更多属于预防性控制（如CIP尽职调查）或检测性控制在执行层面的不到位，不以推动推翻独立风险判断为目的。关键看行为人是否有动机为了客户利益而干预独立的风险评估结论。</w:t>
      </w:r>
    </w:p>
    <w:p>
      <w:pPr>
        <w:spacing w:line="360" w:lineRule="auto" w:after="120"/>
      </w:pPr>
      <w:r/>
    </w:p>
    <w:p>
      <w:pPr>
        <w:spacing w:line="360" w:lineRule="auto" w:after="40"/>
      </w:pPr>
      <w:r>
        <w:t>3. Which money laundering risks are posed by the misuse of trust and asset management services? (Select three.) ( )</w:t>
      </w:r>
    </w:p>
    <w:p>
      <w:pPr>
        <w:spacing w:line="360" w:lineRule="auto" w:after="20"/>
        <w:ind w:firstLine="283"/>
      </w:pPr>
      <w:r>
        <w:t>A. Allowing for third-party custody and safekeeping of funds</w:t>
      </w:r>
    </w:p>
    <w:p>
      <w:pPr>
        <w:spacing w:line="360" w:lineRule="auto" w:after="20"/>
        <w:ind w:firstLine="283"/>
      </w:pPr>
      <w:r>
        <w:t>B. Adding a layer of anonymity to transactions</w:t>
      </w:r>
    </w:p>
    <w:p>
      <w:pPr>
        <w:spacing w:line="360" w:lineRule="auto" w:after="20"/>
        <w:ind w:firstLine="283"/>
      </w:pPr>
      <w:r>
        <w:t>C. Concealing true legal and beneficial owners</w:t>
      </w:r>
    </w:p>
    <w:p>
      <w:pPr>
        <w:spacing w:line="360" w:lineRule="auto" w:after="20"/>
        <w:ind w:firstLine="283"/>
      </w:pPr>
      <w:r>
        <w:t>D. Concealing sources of funds</w:t>
      </w:r>
    </w:p>
    <w:p>
      <w:pPr>
        <w:spacing w:line="360" w:lineRule="auto" w:after="20"/>
        <w:ind w:firstLine="283"/>
      </w:pPr>
      <w:r>
        <w:t>E. Establishing escrow accounts for real estate transactions</w:t>
      </w:r>
    </w:p>
    <w:p>
      <w:pPr>
        <w:spacing w:line="360" w:lineRule="auto" w:after="40"/>
      </w:pPr>
      <w:r>
        <w:t>答案：B、C、D</w:t>
      </w:r>
    </w:p>
    <w:p>
      <w:pPr>
        <w:spacing w:line="360" w:lineRule="auto" w:after="40"/>
      </w:pPr>
      <w:r>
        <w:t>解析：</w:t>
      </w:r>
    </w:p>
    <w:p>
      <w:pPr>
        <w:spacing w:before="120" w:after="40"/>
      </w:pPr>
      <w:r>
        <w:rPr>
          <w:b/>
          <w:sz w:val="21"/>
          <w:shd w:fill="D6E4F0" w:val="clear"/>
        </w:rPr>
        <w:t>考点</w:t>
      </w:r>
    </w:p>
    <w:p>
      <w:pPr>
        <w:spacing w:line="360" w:lineRule="auto" w:after="40"/>
        <w:ind w:firstLine="420"/>
      </w:pPr>
      <w:r>
        <w:t>信托与资产管理服务的匿名性、受益所有权隐藏及资金溯源困难</w:t>
      </w:r>
    </w:p>
    <w:p>
      <w:pPr>
        <w:spacing w:before="120" w:after="40"/>
      </w:pPr>
      <w:r>
        <w:rPr>
          <w:b/>
          <w:sz w:val="21"/>
          <w:shd w:fill="D6E4F0" w:val="clear"/>
        </w:rPr>
        <w:t>核心解析</w:t>
      </w:r>
    </w:p>
    <w:p>
      <w:pPr>
        <w:spacing w:line="360" w:lineRule="auto" w:after="40"/>
        <w:ind w:firstLine="420"/>
      </w:pPr>
      <w:r>
        <w:t>信托与资产管理服务的洗钱风险核心在于三方面：匿名性、所有权隐藏和资金溯源困难。教材指出，信托结构的复杂性与不透明性使资金溯源和识别最终受益所有人（UBO）变得困难</w:t>
      </w:r>
      <w:r>
        <w:rPr>
          <w:sz w:val="15"/>
          <w:vertAlign w:val="superscript"/>
        </w:rPr>
        <w:t>P72</w:t>
      </w:r>
      <w:r>
        <w:t>。犯罪分子利用信托中法定所有权与受益所有人的分离来掩盖与金融犯罪的关联</w:t>
      </w:r>
      <w:r>
        <w:rPr>
          <w:sz w:val="15"/>
          <w:vertAlign w:val="superscript"/>
        </w:rPr>
        <w:t>P74</w:t>
      </w:r>
      <w:r>
        <w:t>。资产管理公司在处理跨司法管辖区的大量资本时，交易往往具有匿名性，并使用复杂的金融产品和第三方</w:t>
      </w:r>
      <w:r>
        <w:rPr>
          <w:sz w:val="15"/>
          <w:vertAlign w:val="superscript"/>
        </w:rPr>
        <w:t>P105</w:t>
      </w:r>
      <w:r>
        <w:t>。名义董事或股东可用于隐藏UBO身份，通过混淆制造匿名层，增加洗钱风险</w:t>
      </w:r>
      <w:r>
        <w:rPr>
          <w:sz w:val="15"/>
          <w:vertAlign w:val="superscript"/>
        </w:rPr>
        <w:t>P127</w:t>
      </w:r>
      <w:r>
        <w:t>。空壳公司或名义账户可隐藏资产真实所有权，使识别受益所有人变得困难</w:t>
      </w:r>
      <w:r>
        <w:rPr>
          <w:sz w:val="15"/>
          <w:vertAlign w:val="superscript"/>
        </w:rPr>
        <w:t>P106</w:t>
      </w:r>
      <w:r>
        <w:t>。托管银行可能被用于离析阶段交易，增加追踪资金起源和识别可疑活动的难度</w:t>
      </w:r>
      <w:r>
        <w:rPr>
          <w:sz w:val="15"/>
          <w:vertAlign w:val="superscript"/>
        </w:rPr>
        <w:t>P106</w:t>
      </w:r>
      <w:r>
        <w:t>。题干问的是滥用信托和资产管理服务会带来哪些洗钱风险，B项“为交易增加一层匿名性”、C项“隐瞒真实的法律和受益所有人”、D项“使资金来源难以追踪”恰好分别对应教材集中阐述的匿名性、所有权隐藏和资金溯源困难这三类核心风险，与题干高度匹配。</w:t>
      </w:r>
    </w:p>
    <w:p>
      <w:pPr>
        <w:spacing w:before="120" w:after="40"/>
      </w:pPr>
      <w:r>
        <w:rPr>
          <w:b/>
          <w:sz w:val="21"/>
          <w:shd w:fill="D6E4F0" w:val="clear"/>
        </w:rPr>
        <w:t>教材原句</w:t>
      </w:r>
    </w:p>
    <w:p>
      <w:pPr>
        <w:spacing w:line="360" w:lineRule="auto" w:after="40"/>
        <w:ind w:firstLine="420"/>
      </w:pPr>
      <w:r>
        <w:t>"The complexity and opacity of trust structures make it difficult to trace the origin of funds and identify the UBO."</w:t>
      </w:r>
    </w:p>
    <w:p>
      <w:pPr>
        <w:spacing w:before="120" w:after="40"/>
      </w:pPr>
      <w:r>
        <w:rPr>
          <w:b/>
          <w:sz w:val="21"/>
          <w:shd w:fill="D6E4F0" w:val="clear"/>
        </w:rPr>
        <w:t>A项错误</w:t>
      </w:r>
    </w:p>
    <w:p>
      <w:pPr>
        <w:spacing w:line="360" w:lineRule="auto" w:after="40"/>
        <w:ind w:firstLine="420"/>
      </w:pPr>
      <w:r>
        <w:t>教材在讨论资产管理公司时提到，它们代表客户进行投资和资产管理</w:t>
      </w:r>
      <w:r>
        <w:rPr>
          <w:sz w:val="15"/>
          <w:vertAlign w:val="superscript"/>
        </w:rPr>
        <w:t>P105</w:t>
      </w:r>
      <w:r>
        <w:t>，第三方托管及资金保管属于该行业的常规服务功能，而非其被滥用时产生的特有风险。相比之下，教材所定义的风险更直接指向匿名性、所有权隐藏和资金溯源困难，A项描述的模式与题干所问的“滥用风险”匹配度不如B、C、D项。</w:t>
      </w:r>
    </w:p>
    <w:p>
      <w:pPr>
        <w:spacing w:before="120" w:after="40"/>
      </w:pPr>
      <w:r>
        <w:rPr>
          <w:b/>
          <w:sz w:val="21"/>
          <w:shd w:fill="D6E4F0" w:val="clear"/>
        </w:rPr>
        <w:t>E项错误</w:t>
      </w:r>
    </w:p>
    <w:p>
      <w:pPr>
        <w:spacing w:line="360" w:lineRule="auto" w:after="40"/>
        <w:ind w:firstLine="420"/>
      </w:pPr>
      <w:r>
        <w:t>设立房地产交易的托管账户是一种具体业务场景，教材在讨论房地产经纪人时提到他们促成涉及身份不明的UBO的高价值交易</w:t>
      </w:r>
      <w:r>
        <w:rPr>
          <w:sz w:val="15"/>
          <w:vertAlign w:val="superscript"/>
        </w:rPr>
        <w:t>P117</w:t>
      </w:r>
      <w:r>
        <w:t>，这属于利用信托或托管服务进行洗钱的一种应用方式，而非信托与资产管理服务本身固有的风险类型。题干问的是普遍风险，E项是一个特定工具，不如B、C、D项直接匹配教材框架下对这两类服务核心风险的定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