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A compliance officer at a European bank is investigating an account opened by the bank for a customer during the last two years. According to bank records, the company's primary economic activity is the import and export of petrochemical products. Over a period of one year, the account transactions have exceeded US$500 million, with various high-value inward wire transfers received from suppliers in Yemen followed by outward wire transfers to counterparties in Azerbaijan. Which factor should give the compliance officer the greatest concern if observed in the investigation? ( )</w:t>
      </w:r>
    </w:p>
    <w:p>
      <w:pPr>
        <w:spacing w:line="360" w:lineRule="auto" w:after="20"/>
        <w:ind w:firstLine="283"/>
      </w:pPr>
      <w:r>
        <w:t>A. Media searches reveal a report that the customer was accused of misconduct three years ago</w:t>
      </w:r>
    </w:p>
    <w:p>
      <w:pPr>
        <w:spacing w:line="360" w:lineRule="auto" w:after="20"/>
        <w:ind w:firstLine="283"/>
      </w:pPr>
      <w:r>
        <w:t>B. The EU bank considers the origin and destination countries involved in the transactions to be high-risk</w:t>
      </w:r>
    </w:p>
    <w:p>
      <w:pPr>
        <w:spacing w:line="360" w:lineRule="auto" w:after="20"/>
        <w:ind w:firstLine="283"/>
      </w:pPr>
      <w:r>
        <w:t>C. The customer's activity includes multiple cross-border transactions involving various counterparties</w:t>
      </w:r>
    </w:p>
    <w:p>
      <w:pPr>
        <w:spacing w:line="360" w:lineRule="auto" w:after="20"/>
        <w:ind w:firstLine="283"/>
      </w:pPr>
      <w:r>
        <w:t>D. The EU bank did not receive originator or beneficiary information for the wire transfers</w:t>
      </w:r>
    </w:p>
    <w:p>
      <w:pPr>
        <w:spacing w:line="360" w:lineRule="auto" w:after="20"/>
        <w:ind w:firstLine="283"/>
      </w:pPr>
      <w:r>
        <w:t>E. The customer specializes in the import and export of petrochemical products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识别电汇中缺失交易对手信息作为最高优先级风险信号</w:t>
      </w:r>
    </w:p>
    <w:p>
      <w:pPr>
        <w:spacing w:before="120" w:after="40"/>
      </w:pPr>
      <w:r>
        <w:rPr>
          <w:b/>
          <w:sz w:val="21"/>
          <w:shd w:fill="D6E4F0" w:val="clear"/>
        </w:rPr>
        <w:t>核心解析</w:t>
      </w:r>
    </w:p>
    <w:p>
      <w:pPr>
        <w:spacing w:line="360" w:lineRule="auto" w:after="40"/>
        <w:ind w:firstLine="420"/>
      </w:pPr>
      <w:r>
        <w:t>电汇风险中，隐瞒信息是一种典型危险信号，具体表现为未提供充分的受益人信息</w:t>
      </w:r>
      <w:r>
        <w:rPr>
          <w:sz w:val="15"/>
          <w:vertAlign w:val="superscript"/>
        </w:rPr>
        <w:t>P79</w:t>
      </w:r>
      <w:r>
        <w:t>。FATF建议第16条更明确规定，金融机构应确保电汇中发起人与受益人数据的准确性</w:t>
      </w:r>
      <w:r>
        <w:rPr>
          <w:sz w:val="15"/>
          <w:vertAlign w:val="superscript"/>
        </w:rPr>
        <w:t>P148</w:t>
      </w:r>
      <w:r>
        <w:t>。本题题干中，合规官正在调查一个涉及高风险地区、大额跨境电汇的账户，在这一调查场景下，“未收到有关电汇的发起人或受益人信息”直接意味着交易透明度缺失，妨碍银行对资金流向和交易目的的判断，因此应被视为调查中最令合规官警惕的发现。</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A项错误</w:t>
      </w:r>
    </w:p>
    <w:p>
      <w:pPr>
        <w:spacing w:line="360" w:lineRule="auto" w:after="40"/>
        <w:ind w:firstLine="420"/>
      </w:pPr>
      <w:r>
        <w:t>负面媒体报道可作为触发客户风险评估更新的因素</w:t>
      </w:r>
      <w:r>
        <w:rPr>
          <w:sz w:val="15"/>
          <w:vertAlign w:val="superscript"/>
        </w:rPr>
        <w:t>P130</w:t>
      </w:r>
      <w:r>
        <w:t>，但题干限定为“三年前”的指控，其时效性与当前调查的关联度，不如D项中直接缺失交易对手信息更能与电汇风险框架形成匹配。</w:t>
      </w:r>
    </w:p>
    <w:p>
      <w:pPr>
        <w:spacing w:before="120" w:after="40"/>
      </w:pPr>
      <w:r>
        <w:rPr>
          <w:b/>
          <w:sz w:val="21"/>
          <w:shd w:fill="D6E4F0" w:val="clear"/>
        </w:rPr>
        <w:t>B项错误</w:t>
      </w:r>
    </w:p>
    <w:p>
      <w:pPr>
        <w:spacing w:line="360" w:lineRule="auto" w:after="40"/>
        <w:ind w:firstLine="420"/>
      </w:pPr>
      <w:r>
        <w:t>汇出地与汇入地位于高风险国家确属地理风险因素</w:t>
      </w:r>
      <w:r>
        <w:rPr>
          <w:sz w:val="15"/>
          <w:vertAlign w:val="superscript"/>
        </w:rPr>
        <w:t>P312</w:t>
      </w:r>
      <w:r>
        <w:t>，值得关注。但题干同时存在多笔大额电汇，在此背景下，D项“未收到电汇发起人或受益人信息”更直接吻合教材对电汇风险中隐瞒信息的定义，警示强度高于仅识别出交易对手所在国家的风险等级。</w:t>
      </w:r>
    </w:p>
    <w:p>
      <w:pPr>
        <w:spacing w:before="120" w:after="40"/>
      </w:pPr>
      <w:r>
        <w:rPr>
          <w:b/>
          <w:sz w:val="21"/>
          <w:shd w:fill="D6E4F0" w:val="clear"/>
        </w:rPr>
        <w:t>C项错误</w:t>
      </w:r>
    </w:p>
    <w:p>
      <w:pPr>
        <w:spacing w:line="360" w:lineRule="auto" w:after="40"/>
        <w:ind w:firstLine="420"/>
      </w:pPr>
      <w:r>
        <w:t>客户活动涉及多笔跨境交易与其进出口主营业务特征是相符的，本身就是该账户日常活动的表现，不构成异常信号。调查中需找出的是使交易更可疑的因素，而非交易事实本身。</w:t>
      </w:r>
    </w:p>
    <w:p>
      <w:pPr>
        <w:spacing w:before="120" w:after="40"/>
      </w:pPr>
      <w:r>
        <w:rPr>
          <w:b/>
          <w:sz w:val="21"/>
          <w:shd w:fill="D6E4F0" w:val="clear"/>
        </w:rPr>
        <w:t>E项错误</w:t>
      </w:r>
    </w:p>
    <w:p>
      <w:pPr>
        <w:spacing w:line="360" w:lineRule="auto" w:after="40"/>
        <w:ind w:firstLine="420"/>
      </w:pPr>
      <w:r>
        <w:t>专门从事石化产品进出口是该客户的基本业务概况，题干已将其作为已知信息交代。在调查场景中，新发现的异常信息才应引起最大关注，而非已有开户信息。</w:t>
      </w:r>
    </w:p>
    <w:p>
      <w:pPr>
        <w:spacing w:before="120" w:after="40"/>
      </w:pPr>
      <w:r>
        <w:rPr>
          <w:b/>
          <w:sz w:val="21"/>
          <w:shd w:fill="D6E4F0" w:val="clear"/>
        </w:rPr>
        <w:t>易错提醒</w:t>
      </w:r>
    </w:p>
    <w:p>
      <w:pPr>
        <w:spacing w:line="360" w:lineRule="auto" w:after="40"/>
        <w:ind w:firstLine="420"/>
      </w:pPr>
      <w:r>
        <w:t>调查中若同时出现“高风险国家”（B项）和“电汇缺失交易对手信息”（D项），D项因直接指向交易透明度丧失，属于教材在电汇风险中单独列出的红旗信号</w:t>
      </w:r>
      <w:r>
        <w:rPr>
          <w:sz w:val="15"/>
          <w:vertAlign w:val="superscript"/>
        </w:rPr>
        <w:t>P79</w:t>
      </w:r>
      <w:r>
        <w:t>，其警示优先级高于宽泛的地理风险分类</w:t>
      </w:r>
      <w:r>
        <w:rPr>
          <w:sz w:val="15"/>
          <w:vertAlign w:val="superscript"/>
        </w:rPr>
        <w:t>P312</w:t>
      </w:r>
      <w:r>
        <w:t>。</w:t>
      </w:r>
    </w:p>
    <w:p>
      <w:pPr>
        <w:spacing w:line="360" w:lineRule="auto" w:after="120"/>
      </w:pPr>
      <w:r/>
    </w:p>
    <w:p>
      <w:pPr>
        <w:spacing w:line="360" w:lineRule="auto" w:after="40"/>
      </w:pPr>
      <w:r>
        <w:t>2. Correspondent banking is considered a high-risk area because correspondent banking transactions: ( )</w:t>
      </w:r>
    </w:p>
    <w:p>
      <w:pPr>
        <w:spacing w:line="360" w:lineRule="auto" w:after="20"/>
        <w:ind w:firstLine="283"/>
      </w:pPr>
      <w:r>
        <w:t>A. Are made primarily to and from high-risk jurisdictions</w:t>
      </w:r>
    </w:p>
    <w:p>
      <w:pPr>
        <w:spacing w:line="360" w:lineRule="auto" w:after="20"/>
        <w:ind w:firstLine="283"/>
      </w:pPr>
      <w:r>
        <w:t>B. Can be made anonymously and without beneficial ownership information</w:t>
      </w:r>
    </w:p>
    <w:p>
      <w:pPr>
        <w:spacing w:line="360" w:lineRule="auto" w:after="20"/>
        <w:ind w:firstLine="283"/>
      </w:pPr>
      <w:r>
        <w:t>C. Typically include less information than domestic payments</w:t>
      </w:r>
    </w:p>
    <w:p>
      <w:pPr>
        <w:spacing w:line="360" w:lineRule="auto" w:after="20"/>
        <w:ind w:firstLine="283"/>
      </w:pPr>
      <w:r>
        <w:t>D. Are made cross-border and on behalf of third parties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代理行风险源于“跨境”+“代表第三方”的间接服务本质</w:t>
      </w:r>
    </w:p>
    <w:p>
      <w:pPr>
        <w:spacing w:before="120" w:after="40"/>
      </w:pPr>
      <w:r>
        <w:rPr>
          <w:b/>
          <w:sz w:val="21"/>
          <w:shd w:fill="D6E4F0" w:val="clear"/>
        </w:rPr>
        <w:t>核心解析</w:t>
      </w:r>
    </w:p>
    <w:p>
      <w:pPr>
        <w:spacing w:line="360" w:lineRule="auto" w:after="40"/>
        <w:ind w:firstLine="420"/>
      </w:pPr>
      <w:r>
        <w:t>代理行关系指一家银行作为另一家外国银行的代理行</w:t>
      </w:r>
      <w:r>
        <w:rPr>
          <w:sz w:val="15"/>
          <w:vertAlign w:val="superscript"/>
        </w:rPr>
        <w:t>P83</w:t>
      </w:r>
      <w:r>
        <w:t>。题干问代理行被视为高风险领域的原因，教材在列举具体风险点之前，首先点明其基本结构：代理行交易是跨境的（cross-border），且代理行为委托行的客户——即第三方——提供服务，这种关系的间接性意味着代理行“为未核实身份、未直接了解的个体和实体提供服务”，即“保持距离”（at arm's length）</w:t>
      </w:r>
      <w:r>
        <w:rPr>
          <w:sz w:val="15"/>
          <w:vertAlign w:val="superscript"/>
        </w:rPr>
        <w:t>P83</w:t>
      </w:r>
      <w:r>
        <w:t>。选项D用“cross-border”和“on behalf of third parties”准确概括了这两个结构特征。由此派生出无法对终端客户进行典型尽调</w:t>
      </w:r>
      <w:r>
        <w:rPr>
          <w:sz w:val="15"/>
          <w:vertAlign w:val="superscript"/>
        </w:rPr>
        <w:t>P83</w:t>
      </w:r>
      <w:r>
        <w:t>、缺乏交易数据以致难以监控异常模式</w:t>
      </w:r>
      <w:r>
        <w:rPr>
          <w:sz w:val="15"/>
          <w:vertAlign w:val="superscript"/>
        </w:rPr>
        <w:t>P84</w:t>
      </w:r>
      <w:r>
        <w:t>等具体风险——但这些具体风险点都是由“跨境+代表第三方”这个基本结构决定的。相比之下，其他选项要么是衍生表现，要么存在表述偏差，不如D项直接命中代理行业务的结构性风险根源。</w:t>
      </w:r>
    </w:p>
    <w:p>
      <w:pPr>
        <w:spacing w:before="120" w:after="40"/>
      </w:pPr>
      <w:r>
        <w:rPr>
          <w:b/>
          <w:sz w:val="21"/>
          <w:shd w:fill="D6E4F0" w:val="clear"/>
        </w:rPr>
        <w:t>A项错误</w:t>
      </w:r>
    </w:p>
    <w:p>
      <w:pPr>
        <w:spacing w:line="360" w:lineRule="auto" w:after="40"/>
        <w:ind w:firstLine="420"/>
      </w:pPr>
      <w:r>
        <w:t>教材在电汇风险部分将“高风险司法管辖区”列为红旗信号</w:t>
      </w:r>
      <w:r>
        <w:rPr>
          <w:sz w:val="15"/>
          <w:vertAlign w:val="superscript"/>
        </w:rPr>
        <w:t>P78</w:t>
      </w:r>
      <w:r>
        <w:t>，在客户风险评估中也将其作为考量要素</w:t>
      </w:r>
      <w:r>
        <w:rPr>
          <w:sz w:val="15"/>
          <w:vertAlign w:val="superscript"/>
        </w:rPr>
        <w:t>P307</w:t>
      </w:r>
      <w:r>
        <w:t>，但这并非代理行交易独有的特征，任何跨境产品都可能涉及。代理行交易的本质风险在于其间接关系结构——即使交易发生在低风险司法管辖区之间，代理行仍然无法直接了解终端客户。题干更支持D，因为结构特征比地域因素更能定义代理行风险。</w:t>
      </w:r>
    </w:p>
    <w:p>
      <w:pPr>
        <w:spacing w:before="120" w:after="40"/>
      </w:pPr>
      <w:r>
        <w:rPr>
          <w:b/>
          <w:sz w:val="21"/>
          <w:shd w:fill="D6E4F0" w:val="clear"/>
        </w:rPr>
        <w:t>B项错误</w:t>
      </w:r>
    </w:p>
    <w:p>
      <w:pPr>
        <w:spacing w:line="360" w:lineRule="auto" w:after="40"/>
        <w:ind w:firstLine="420"/>
      </w:pPr>
      <w:r>
        <w:t>教材确实指出代理行“无法或不能对委托行终端客户进行典型尽职调查”</w:t>
      </w:r>
      <w:r>
        <w:rPr>
          <w:sz w:val="15"/>
          <w:vertAlign w:val="superscript"/>
        </w:rPr>
        <w:t>P83</w:t>
      </w:r>
      <w:r>
        <w:t>，但这不等于交易本身“可匿名制作”。代理行知道委托行是谁，且“在建立代理行关系前应了解委托行的所有者及其监管监督性质”</w:t>
      </w:r>
      <w:r>
        <w:rPr>
          <w:sz w:val="15"/>
          <w:vertAlign w:val="superscript"/>
        </w:rPr>
        <w:t>P83</w:t>
      </w:r>
      <w:r>
        <w:t>。B项将“对终端客户的信息有限”夸大为“匿名且无需受益所有权信息”，相比之下D对代理行风险结构特征的概括更准确，不涉及这种程度偏差。</w:t>
      </w:r>
    </w:p>
    <w:p>
      <w:pPr>
        <w:spacing w:before="120" w:after="40"/>
      </w:pPr>
      <w:r>
        <w:rPr>
          <w:b/>
          <w:sz w:val="21"/>
          <w:shd w:fill="D6E4F0" w:val="clear"/>
        </w:rPr>
        <w:t>C项错误</w:t>
      </w:r>
    </w:p>
    <w:p>
      <w:pPr>
        <w:spacing w:line="360" w:lineRule="auto" w:after="40"/>
        <w:ind w:firstLine="420"/>
      </w:pPr>
      <w:r>
        <w:t>教材提到代理行“缺乏委托行交易数据，难以实施交易监控以发现异常模式”</w:t>
      </w:r>
      <w:r>
        <w:rPr>
          <w:sz w:val="15"/>
          <w:vertAlign w:val="superscript"/>
        </w:rPr>
        <w:t>P84</w:t>
      </w:r>
      <w:r>
        <w:t>，这说的是代理行无法获取委托行客户层面的详细交易信息——而非代理行交易本身包含的信息少于国内支付。国内支付和代理行交易的信息量取决于各自报文格式和监管要求，教材未对此进行比较。C项将“代理行缺乏数据”的概念偷换为“交易信息少”，不如D直接命中代理行风险的根源。</w:t>
      </w:r>
    </w:p>
    <w:p>
      <w:pPr>
        <w:spacing w:before="120" w:after="40"/>
      </w:pPr>
      <w:r>
        <w:rPr>
          <w:b/>
          <w:sz w:val="21"/>
          <w:shd w:fill="D6E4F0" w:val="clear"/>
        </w:rPr>
        <w:t>易错提醒</w:t>
      </w:r>
    </w:p>
    <w:p>
      <w:pPr>
        <w:spacing w:line="360" w:lineRule="auto" w:after="40"/>
        <w:ind w:firstLine="420"/>
      </w:pPr>
      <w:r>
        <w:t>区分“代理行对终端客户缺乏一手了解”与“交易可匿名进行”：教材说代理行“为未核实身份或未直接了解的个体和实体提供服务”</w:t>
      </w:r>
      <w:r>
        <w:rPr>
          <w:sz w:val="15"/>
          <w:vertAlign w:val="superscript"/>
        </w:rPr>
        <w:t>P83</w:t>
      </w:r>
      <w:r>
        <w:t>，这种间接性是结构特征，意味着代理行依赖委托行去做尽调——但代理行仍然知道委托行是谁，交易本身并非匿名。学生容易将两者混淆，误以为B项正确。</w:t>
      </w:r>
    </w:p>
    <w:p>
      <w:pPr>
        <w:spacing w:line="360" w:lineRule="auto" w:after="120"/>
      </w:pPr>
      <w:r/>
    </w:p>
    <w:p>
      <w:pPr>
        <w:spacing w:line="360" w:lineRule="auto" w:after="40"/>
      </w:pPr>
      <w:r>
        <w:t>3. Unusual wire transfer transactions can include: (Choose two.) ( )</w:t>
      </w:r>
    </w:p>
    <w:p>
      <w:pPr>
        <w:spacing w:line="360" w:lineRule="auto" w:after="20"/>
        <w:ind w:firstLine="283"/>
      </w:pPr>
      <w:r>
        <w:t>A. Wire transfers in different currencies between accounts held at different banks for the same client.</w:t>
      </w:r>
    </w:p>
    <w:p>
      <w:pPr>
        <w:spacing w:line="360" w:lineRule="auto" w:after="20"/>
        <w:ind w:firstLine="283"/>
      </w:pPr>
      <w:r>
        <w:t>B. An incoming third-party wire transfer followed by the purchase of real estate in the client's name.</w:t>
      </w:r>
    </w:p>
    <w:p>
      <w:pPr>
        <w:spacing w:line="360" w:lineRule="auto" w:after="20"/>
        <w:ind w:firstLine="283"/>
      </w:pPr>
      <w:r>
        <w:t>C. An incoming wire transfer followed by the loan payment to a third party that is a business associate of the client.</w:t>
      </w:r>
    </w:p>
    <w:p>
      <w:pPr>
        <w:spacing w:line="360" w:lineRule="auto" w:after="20"/>
        <w:ind w:firstLine="283"/>
      </w:pPr>
      <w:r>
        <w:t>D. Multiple wire transfers sent to counterparties associated with the client as per KYC documentation.</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区分正常电汇与具有洗钱风险特征的异常电汇模式</w:t>
      </w:r>
    </w:p>
    <w:p>
      <w:pPr>
        <w:spacing w:before="120" w:after="40"/>
      </w:pPr>
      <w:r>
        <w:rPr>
          <w:b/>
          <w:sz w:val="21"/>
          <w:shd w:fill="D6E4F0" w:val="clear"/>
        </w:rPr>
        <w:t>核心解析</w:t>
      </w:r>
    </w:p>
    <w:p>
      <w:pPr>
        <w:spacing w:line="360" w:lineRule="auto" w:after="40"/>
        <w:ind w:firstLine="420"/>
      </w:pPr>
      <w:r>
        <w:t>教材提到，电汇风险中一个核心的异常信号是“不寻常的指令，如一系列转账指令或在指令中添加无关方名称”</w:t>
      </w:r>
      <w:r>
        <w:rPr>
          <w:sz w:val="15"/>
          <w:vertAlign w:val="superscript"/>
        </w:rPr>
        <w:t>P79</w:t>
      </w:r>
      <w:r>
        <w:t>。这揭示了判断异常的核心逻辑：交易是否具有掩盖资金轨迹、缺乏合理商业解释的特性。选项A“在不同银行间以不同货币进行电汇”本身就构成复杂的转账序列和跨货币操作，指令路径迂回，缺乏单一银行、单一货币转账的简洁商业逻辑，更吻合为规避监测或混淆资金来源而构建的异常模式</w:t>
      </w:r>
      <w:r>
        <w:rPr>
          <w:sz w:val="15"/>
          <w:vertAlign w:val="superscript"/>
        </w:rPr>
        <w:t>P79</w:t>
      </w:r>
      <w:r>
        <w:t>。选项B“第三方汇入后以客户名义购买房产”，结合教材所指出的由公司或代名人购买房产为红旗信号</w:t>
      </w:r>
      <w:r>
        <w:rPr>
          <w:sz w:val="15"/>
          <w:vertAlign w:val="superscript"/>
        </w:rPr>
        <w:t>P121</w:t>
      </w:r>
      <w:r>
        <w:t>，第三方资金与客户名义的分离，完美体现了利用第三方掩盖出资人与资产真实关联的手法，属于典型的异常电汇后续场景。</w:t>
      </w:r>
    </w:p>
    <w:p>
      <w:pPr>
        <w:spacing w:before="120" w:after="40"/>
      </w:pPr>
      <w:r>
        <w:rPr>
          <w:b/>
          <w:sz w:val="21"/>
          <w:shd w:fill="D6E4F0" w:val="clear"/>
        </w:rPr>
        <w:t>教材原句</w:t>
      </w:r>
    </w:p>
    <w:p>
      <w:pPr>
        <w:spacing w:line="360" w:lineRule="auto" w:after="40"/>
        <w:ind w:firstLine="420"/>
      </w:pPr>
      <w:r>
        <w:t>"Unusual instructions with the wire transfer, such as a sequence of transfer instructions or the addition of an unrelated party name in the instructions"</w:t>
      </w:r>
    </w:p>
    <w:p>
      <w:pPr>
        <w:spacing w:before="120" w:after="40"/>
      </w:pPr>
      <w:r>
        <w:rPr>
          <w:b/>
          <w:sz w:val="21"/>
          <w:shd w:fill="D6E4F0" w:val="clear"/>
        </w:rPr>
        <w:t>C项错误</w:t>
      </w:r>
    </w:p>
    <w:p>
      <w:pPr>
        <w:spacing w:line="360" w:lineRule="auto" w:after="40"/>
        <w:ind w:firstLine="420"/>
      </w:pPr>
      <w:r>
        <w:t>该选项描述了“向有业务往来的第三方支付贷款”，这属于正常的商业还款行为，有明确的交易对手关系和经济目的。题干条件更支持缺乏合理商业解释或涉及无关方的异常模式，而非有清晰业务往来的场景。</w:t>
      </w:r>
    </w:p>
    <w:p>
      <w:pPr>
        <w:spacing w:before="120" w:after="40"/>
      </w:pPr>
      <w:r>
        <w:rPr>
          <w:b/>
          <w:sz w:val="21"/>
          <w:shd w:fill="D6E4F0" w:val="clear"/>
        </w:rPr>
        <w:t>D项错误</w:t>
      </w:r>
    </w:p>
    <w:p>
      <w:pPr>
        <w:spacing w:line="360" w:lineRule="auto" w:after="40"/>
        <w:ind w:firstLine="420"/>
      </w:pPr>
      <w:r>
        <w:t>虽然多次电汇可能引起关注，但选项明确指出交易对手方是“依据KYC文件已关联的”，这表示该对手方在客户尽职调查中是已知的、有记录的关系。与交易对手方信息完全透明、已被存档的行为相比，更吻合教材所描述“添加无关方名称”或“无合理解释的第三方”的异常特征。</w:t>
      </w:r>
    </w:p>
    <w:p>
      <w:pPr>
        <w:spacing w:before="120" w:after="40"/>
      </w:pPr>
      <w:r>
        <w:rPr>
          <w:b/>
          <w:sz w:val="21"/>
          <w:shd w:fill="D6E4F0" w:val="clear"/>
        </w:rPr>
        <w:t>易错提醒</w:t>
      </w:r>
    </w:p>
    <w:p>
      <w:pPr>
        <w:spacing w:line="360" w:lineRule="auto" w:after="40"/>
        <w:ind w:firstLine="420"/>
      </w:pPr>
      <w:r>
        <w:t>不要因为“贷款支付”（选项C）或“多次电汇”（选项D）就判定为异常。核心判断标准在于：交易背后是否有无法合理解释的经济目的，或出现了无商业关联的“无关方”。已知的、有业务往来的交易对手属于正常的商业关联，而无关第三方或复杂的自我转账路径才是异常信号。</w:t>
      </w:r>
    </w:p>
    <w:p>
      <w:pPr>
        <w:spacing w:line="360" w:lineRule="auto" w:after="120"/>
      </w:pPr>
      <w:r/>
    </w:p>
    <w:p>
      <w:pPr>
        <w:spacing w:line="360" w:lineRule="auto" w:after="40"/>
      </w:pPr>
      <w:r>
        <w:t>4. Which activities would be considered money laundering red flags when reviewing the business operations of a money services business (MSB)? (Select two.) ( )</w:t>
      </w:r>
    </w:p>
    <w:p>
      <w:pPr>
        <w:spacing w:line="360" w:lineRule="auto" w:after="20"/>
        <w:ind w:firstLine="283"/>
      </w:pPr>
      <w:r>
        <w:t>A. A customer being hesitant to provide beneficiary name or address information when sending international wire transfers.</w:t>
      </w:r>
    </w:p>
    <w:p>
      <w:pPr>
        <w:spacing w:line="360" w:lineRule="auto" w:after="20"/>
        <w:ind w:firstLine="283"/>
      </w:pPr>
      <w:r>
        <w:t>B. Cash-intensive businesses, such as convenience stores or restaurants, making large cash deposits.</w:t>
      </w:r>
    </w:p>
    <w:p>
      <w:pPr>
        <w:spacing w:line="360" w:lineRule="auto" w:after="20"/>
        <w:ind w:firstLine="283"/>
      </w:pPr>
      <w:r>
        <w:t>C. A customer exchanging foreign currency from a higher-risk jurisdiction for domestic currency under the reporting threshold.</w:t>
      </w:r>
    </w:p>
    <w:p>
      <w:pPr>
        <w:spacing w:line="360" w:lineRule="auto" w:after="20"/>
        <w:ind w:firstLine="283"/>
      </w:pPr>
      <w:r>
        <w:t>D. A customer using multiple accounts under different names to conduct transactions.</w:t>
      </w:r>
    </w:p>
    <w:p>
      <w:pPr>
        <w:spacing w:line="360" w:lineRule="auto" w:after="20"/>
        <w:ind w:firstLine="283"/>
      </w:pPr>
      <w:r>
        <w:t>E. A customer completing frequent small-dollar international money transfers to their native country.</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识别MSB业务中的洗钱警示信号：隐瞒信息与使用多名多账户</w:t>
      </w:r>
    </w:p>
    <w:p>
      <w:pPr>
        <w:spacing w:before="120" w:after="40"/>
      </w:pPr>
      <w:r>
        <w:rPr>
          <w:b/>
          <w:sz w:val="21"/>
          <w:shd w:fill="D6E4F0" w:val="clear"/>
        </w:rPr>
        <w:t>核心解析</w:t>
      </w:r>
    </w:p>
    <w:p>
      <w:pPr>
        <w:spacing w:line="360" w:lineRule="auto" w:after="40"/>
        <w:ind w:firstLine="420"/>
      </w:pPr>
      <w:r>
        <w:t>洗钱警示信号包括隐瞒信息，如未提供充分的受益人信息</w:t>
      </w:r>
      <w:r>
        <w:rPr>
          <w:sz w:val="15"/>
          <w:vertAlign w:val="superscript"/>
        </w:rPr>
        <w:t>P79</w:t>
      </w:r>
      <w:r>
        <w:t>；以及利用多个账户逃避监控，犯罪分子通过使用多个账户、金融机构和中间人来逃避监控</w:t>
      </w:r>
      <w:r>
        <w:rPr>
          <w:sz w:val="15"/>
          <w:vertAlign w:val="superscript"/>
        </w:rPr>
        <w:t>P17</w:t>
      </w:r>
      <w:r>
        <w:t>。在MSB业务运营审查中，客户对提供受益人姓名或地址犹豫不决直接对应隐瞒信息这一警示信号；客户使用不同名称下的多个账户进行交易，则属于教材所指的利用多个账户逃避监控的行为。两者均与教材定义的警示信号直接吻合。</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B项错误</w:t>
      </w:r>
    </w:p>
    <w:p>
      <w:pPr>
        <w:spacing w:line="360" w:lineRule="auto" w:after="40"/>
        <w:ind w:firstLine="420"/>
      </w:pPr>
      <w:r>
        <w:t>教材指出高现金业务如便利店常有频繁现金存款属于正常业务行为</w:t>
      </w:r>
      <w:r>
        <w:rPr>
          <w:sz w:val="15"/>
          <w:vertAlign w:val="superscript"/>
        </w:rPr>
        <w:t>P444</w:t>
      </w:r>
      <w:r>
        <w:t>，题干只描述了大额现金存款，未显示与业务画像不符，因此B不如A、D那样直接匹配教材列示的警示信号。</w:t>
      </w:r>
    </w:p>
    <w:p>
      <w:pPr>
        <w:spacing w:before="120" w:after="40"/>
      </w:pPr>
      <w:r>
        <w:rPr>
          <w:b/>
          <w:sz w:val="21"/>
          <w:shd w:fill="D6E4F0" w:val="clear"/>
        </w:rPr>
        <w:t>C项错误</w:t>
      </w:r>
    </w:p>
    <w:p>
      <w:pPr>
        <w:spacing w:line="360" w:lineRule="auto" w:after="40"/>
        <w:ind w:firstLine="420"/>
      </w:pPr>
      <w:r>
        <w:t>仅凭来自高风险司法管辖区且兑换金额低于报告门槛，缺乏拆分、隐瞒或其他可疑要素，无法直接构成教材所定义的警示信号，匹配度不如A、D。</w:t>
      </w:r>
    </w:p>
    <w:p>
      <w:pPr>
        <w:spacing w:before="120" w:after="40"/>
      </w:pPr>
      <w:r>
        <w:rPr>
          <w:b/>
          <w:sz w:val="21"/>
          <w:shd w:fill="D6E4F0" w:val="clear"/>
        </w:rPr>
        <w:t>E项错误</w:t>
      </w:r>
    </w:p>
    <w:p>
      <w:pPr>
        <w:spacing w:line="360" w:lineRule="auto" w:after="40"/>
        <w:ind w:firstLine="420"/>
      </w:pPr>
      <w:r>
        <w:t>频繁小额国际汇款至本国，若无其他可疑特征，可能是移民社区的正常汇款行为，教材未将其单独列为洗钱警示信号，相比之下A、D有更明确的警示特征。</w:t>
      </w:r>
    </w:p>
    <w:p>
      <w:pPr>
        <w:spacing w:before="120" w:after="40"/>
      </w:pPr>
      <w:r>
        <w:rPr>
          <w:b/>
          <w:sz w:val="21"/>
          <w:shd w:fill="D6E4F0" w:val="clear"/>
        </w:rPr>
        <w:t>易错提醒</w:t>
      </w:r>
    </w:p>
    <w:p>
      <w:pPr>
        <w:spacing w:line="360" w:lineRule="auto" w:after="40"/>
        <w:ind w:firstLine="420"/>
      </w:pPr>
      <w:r>
        <w:t>现金密集型企业的大额现金存款本身不是警示信号，只有当交易模式与客户业务画像不符时才构成警示信号</w:t>
      </w:r>
      <w:r>
        <w:rPr>
          <w:sz w:val="15"/>
          <w:vertAlign w:val="superscript"/>
        </w:rPr>
        <w:t>P444</w:t>
      </w:r>
      <w:r>
        <w:t>。</w:t>
      </w:r>
    </w:p>
    <w:p>
      <w:pPr>
        <w:spacing w:line="360" w:lineRule="auto" w:after="120"/>
      </w:pPr>
      <w:r/>
    </w:p>
    <w:p>
      <w:pPr>
        <w:spacing w:line="360" w:lineRule="auto" w:after="40"/>
      </w:pPr>
      <w:r>
        <w:t>5. The relationship manager in the corporate banking department at a bank is required to take specialized AML training tailored to the risks the department is most likely to encounter. Which types of content are most appropriate for this training? (Select Two.) ( )</w:t>
      </w:r>
    </w:p>
    <w:p>
      <w:pPr>
        <w:spacing w:line="360" w:lineRule="auto" w:after="20"/>
        <w:ind w:firstLine="283"/>
      </w:pPr>
      <w:r>
        <w:t>A. Money laundering typologies applicable to monetary instrument reporting</w:t>
      </w:r>
    </w:p>
    <w:p>
      <w:pPr>
        <w:spacing w:line="360" w:lineRule="auto" w:after="20"/>
        <w:ind w:firstLine="283"/>
      </w:pPr>
      <w:r>
        <w:t>B. Applicable AML laws and regulations</w:t>
      </w:r>
    </w:p>
    <w:p>
      <w:pPr>
        <w:spacing w:line="360" w:lineRule="auto" w:after="20"/>
        <w:ind w:firstLine="283"/>
      </w:pPr>
      <w:r>
        <w:t>C. Regulatory exam best practices</w:t>
      </w:r>
    </w:p>
    <w:p>
      <w:pPr>
        <w:spacing w:line="360" w:lineRule="auto" w:after="20"/>
        <w:ind w:firstLine="283"/>
      </w:pPr>
      <w:r>
        <w:t>D. Money laundering typologies applicable to corporate loans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按岗位风险定制培训：法规基础加特定业务洗钱类型</w:t>
      </w:r>
    </w:p>
    <w:p>
      <w:pPr>
        <w:spacing w:before="120" w:after="40"/>
      </w:pPr>
      <w:r>
        <w:rPr>
          <w:b/>
          <w:sz w:val="21"/>
          <w:shd w:fill="D6E4F0" w:val="clear"/>
        </w:rPr>
        <w:t>核心解析</w:t>
      </w:r>
    </w:p>
    <w:p>
      <w:pPr>
        <w:spacing w:line="360" w:lineRule="auto" w:after="40"/>
        <w:ind w:firstLine="420"/>
      </w:pPr>
      <w:r>
        <w:t>反洗钱培训应当确保员工理解其在反洗钱法规下的职责及可疑交易报告结构</w:t>
      </w:r>
      <w:r>
        <w:rPr>
          <w:sz w:val="15"/>
          <w:vertAlign w:val="superscript"/>
        </w:rPr>
        <w:t>P255</w:t>
      </w:r>
      <w:r>
        <w:t>。同时，针对公司银行部最可能遇到的洗钱风险，培训必须包含该部门核心业务——公司贷款的洗钱类型；教材指出企业贷款中存在因复杂所有权结构（如壳公司）而难以识别受益所有人的洗钱风险</w:t>
      </w:r>
      <w:r>
        <w:rPr>
          <w:sz w:val="15"/>
          <w:vertAlign w:val="superscript"/>
        </w:rPr>
        <w:t>P77</w:t>
      </w:r>
      <w:r>
        <w:t>。因此，对公司关系经理的专项培训，内容既要涵盖适用的反洗钱法律法规（选项B），也要包含适用于公司贷款的洗钱类型（选项D），两者分别对应基础合规要求和部门特有的风险识别。</w:t>
      </w:r>
    </w:p>
    <w:p>
      <w:pPr>
        <w:spacing w:before="120" w:after="40"/>
      </w:pPr>
      <w:r>
        <w:rPr>
          <w:b/>
          <w:sz w:val="21"/>
          <w:shd w:fill="D6E4F0" w:val="clear"/>
        </w:rPr>
        <w:t>教材原句</w:t>
      </w:r>
    </w:p>
    <w:p>
      <w:pPr>
        <w:spacing w:line="360" w:lineRule="auto" w:after="40"/>
        <w:ind w:firstLine="420"/>
      </w:pPr>
      <w:r>
        <w:t>"Money laundering risks in corporate lending include difficulties in identifying beneficial owners due to complex corporate structures, including shell companies and several layers of ownership."</w:t>
      </w:r>
    </w:p>
    <w:p>
      <w:pPr>
        <w:spacing w:before="120" w:after="40"/>
      </w:pPr>
      <w:r>
        <w:rPr>
          <w:b/>
          <w:sz w:val="21"/>
          <w:shd w:fill="D6E4F0" w:val="clear"/>
        </w:rPr>
        <w:t>A项错误</w:t>
      </w:r>
    </w:p>
    <w:p>
      <w:pPr>
        <w:spacing w:line="360" w:lineRule="auto" w:after="40"/>
        <w:ind w:firstLine="420"/>
      </w:pPr>
      <w:r>
        <w:t>货币工具报告通常涉及现金、货币工具等与零售交易或出纳岗位关联更紧密的场景；公司银行部以企业贷款、复杂结构为主，日常工作中接触货币工具报告类洗钱手法的机会较少，相比选项D，A与该部门最可能遇到的风险直接匹配度更低。</w:t>
      </w:r>
    </w:p>
    <w:p>
      <w:pPr>
        <w:spacing w:before="120" w:after="40"/>
      </w:pPr>
      <w:r>
        <w:rPr>
          <w:b/>
          <w:sz w:val="21"/>
          <w:shd w:fill="D6E4F0" w:val="clear"/>
        </w:rPr>
        <w:t>C项错误</w:t>
      </w:r>
    </w:p>
    <w:p>
      <w:pPr>
        <w:spacing w:line="360" w:lineRule="auto" w:after="40"/>
        <w:ind w:firstLine="420"/>
      </w:pPr>
      <w:r>
        <w:t>监管检查最佳实践主要面向负责监管对接和合规审计的职能（如合规官或内部审计），关系经理作为一线业务人员，其培训内容更应聚焦于识别洗钱风险和履行报告职责；选项B和D分别提供了法规基础和业务洗钱类型，比C更贴合关系经理的角色需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