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(EN)</w:t>
      </w:r>
    </w:p>
    <w:p>
      <w:pPr>
        <w:spacing w:line="360" w:lineRule="auto" w:after="160"/>
      </w:pPr>
      <w:r>
        <w:t>一、单项选择题</w:t>
      </w:r>
    </w:p>
    <w:p>
      <w:pPr>
        <w:spacing w:line="360" w:lineRule="auto" w:after="40"/>
      </w:pPr>
      <w:r>
        <w:t>1. News published in Country A reports that a politically exposed person (PEP) had received a bribe from a transnational company headquartered in a developing country of approximately US$1.5 million, deposited into an account at a financial institution (FI) located in Country B. Both countries are members of the Egmont Group. The account where the money was deposited belongs to the PEP's immediate family member. To corroborate the facts, the FIU of Country A sent a formal request via secure communication channels for further information from its counterpart FIU in Country B. According to Egmont principles, the FIU of Country B can: ( )</w:t>
      </w:r>
    </w:p>
    <w:p>
      <w:pPr>
        <w:spacing w:line="360" w:lineRule="auto" w:after="20"/>
        <w:ind w:firstLine="283"/>
      </w:pPr>
      <w:r>
        <w:t>A. Provide the information available to them because the exchange is between two FIUs that are members of the Egmont Group, and the formal request was made using secure communication channels</w:t>
      </w:r>
    </w:p>
    <w:p>
      <w:pPr>
        <w:spacing w:line="360" w:lineRule="auto" w:after="20"/>
        <w:ind w:firstLine="283"/>
      </w:pPr>
      <w:r>
        <w:t>B. Provide the requested information only if Country A has signed a memorandum of understanding (MoU) with Country B</w:t>
      </w:r>
    </w:p>
    <w:p>
      <w:pPr>
        <w:spacing w:line="360" w:lineRule="auto" w:after="20"/>
        <w:ind w:firstLine="283"/>
      </w:pPr>
      <w:r>
        <w:t>C. Instruct Country A's FIU to inquire further with the financial institution where the account is held</w:t>
      </w:r>
    </w:p>
    <w:p>
      <w:pPr>
        <w:spacing w:line="360" w:lineRule="auto" w:after="20"/>
        <w:ind w:firstLine="283"/>
      </w:pPr>
      <w:r>
        <w:t>D. Refuse the request if Country B's FIU has not received a suspicious activity report (SAR) from the financial institution where the account is held</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本题需依据教材规则/定义判断各选项与题干条件的对应关系。</w:t>
      </w:r>
    </w:p>
    <w:p>
      <w:pPr>
        <w:spacing w:before="120" w:after="40"/>
      </w:pPr>
      <w:r>
        <w:rPr>
          <w:b/>
          <w:sz w:val="21"/>
          <w:shd w:fill="D6E4F0" w:val="clear"/>
        </w:rPr>
        <w:t>核心解析</w:t>
      </w:r>
    </w:p>
    <w:p>
      <w:pPr>
        <w:spacing w:line="360" w:lineRule="auto" w:after="40"/>
        <w:ind w:firstLine="420"/>
      </w:pPr>
      <w:r>
        <w:t>现有材料不足以判断该项。</w:t>
      </w:r>
    </w:p>
    <w:p>
      <w:pPr>
        <w:spacing w:before="120" w:after="40"/>
      </w:pPr>
      <w:r>
        <w:rPr>
          <w:b/>
          <w:sz w:val="21"/>
          <w:shd w:fill="D6E4F0" w:val="clear"/>
        </w:rPr>
        <w:t>B项错误</w:t>
      </w:r>
    </w:p>
    <w:p>
      <w:pPr>
        <w:spacing w:line="360" w:lineRule="auto" w:after="40"/>
        <w:ind w:firstLine="420"/>
      </w:pPr>
      <w:r>
        <w:t>教材指出“根据FATF标准和埃格蒙特集团原则，FIU应自发或应请求相互传播金融情报”、“埃格蒙特集团2013年文件概述FIU在国际合作与信息交换中的运作”、“埃格蒙特集团是各国金融情报机构的国际网络，促进合作与情报共享以打击洗钱、恐怖融资和其他金融犯罪”，而“仅在A国与B国签署谅解备忘录（MoU）的情况下提供所要求的信息”与此不符。</w:t>
      </w:r>
    </w:p>
    <w:p>
      <w:pPr>
        <w:spacing w:before="120" w:after="40"/>
      </w:pPr>
      <w:r>
        <w:rPr>
          <w:b/>
          <w:sz w:val="21"/>
          <w:shd w:fill="D6E4F0" w:val="clear"/>
        </w:rPr>
        <w:t>C项错误：“指示A国金融情报机构向开设账户的金融机构进一步了解情况”与题干给出的“A国发布的新闻报道称，一名政治公众人物（PEP）从一家总部位于发展中国家的跨国公司收受了约150万美元的贿赂，这笔钱存入了位于B国的一家金融机构（FI）的账户。两国均为埃格蒙特集团成员。该账户属于该政治公众人物的直系亲属。为核实事实，A国金融情报机构（FIU）通过安全通信渠道向B国对口金融情报机构（FIU）发出正式请求，要求提供进一步信息。根据埃格蒙特原则，B国金融情报机构可以</w:t>
      </w:r>
    </w:p>
    <w:p>
      <w:pPr>
        <w:spacing w:line="360" w:lineRule="auto" w:after="40"/>
        <w:ind w:firstLine="420"/>
      </w:pPr>
      <w:r>
        <w:t>”不一致。</w:t>
      </w:r>
    </w:p>
    <w:p>
      <w:pPr>
        <w:spacing w:before="120" w:after="40"/>
      </w:pPr>
      <w:r>
        <w:rPr>
          <w:b/>
          <w:sz w:val="21"/>
          <w:shd w:fill="D6E4F0" w:val="clear"/>
        </w:rPr>
        <w:t>D项错误</w:t>
      </w:r>
    </w:p>
    <w:p>
      <w:pPr>
        <w:spacing w:line="360" w:lineRule="auto" w:after="40"/>
        <w:ind w:firstLine="420"/>
      </w:pPr>
      <w:r>
        <w:t>教材指出“根据FATF标准和埃格蒙特集团原则，FIU应自发或应请求相互传播金融情报”、“埃格蒙特集团2013年文件概述FIU在国际合作与信息交换中的运作”、“埃格蒙特集团是各国金融情报机构的国际网络，促进合作与情报共享以打击洗钱、恐怖融资和其他金融犯罪”，而“如果B国金融情报机构未收到开设账户的金融机构提交的可疑活动报告（SAR），则拒绝该请求”与此不符。</w:t>
      </w:r>
    </w:p>
    <w:p>
      <w:pPr>
        <w:spacing w:line="360" w:lineRule="auto" w:after="120"/>
      </w:pPr>
      <w:r/>
    </w:p>
    <w:p>
      <w:pPr>
        <w:spacing w:line="360" w:lineRule="auto" w:after="40"/>
      </w:pPr>
      <w:r>
        <w:t>2. The supply of goods and services can be vulnerable to corruption within a company, particularly the solicitation and receipt of bribes and kickbacks, because: (Choose Two.) ( )</w:t>
      </w:r>
    </w:p>
    <w:p>
      <w:pPr>
        <w:spacing w:line="360" w:lineRule="auto" w:after="20"/>
        <w:ind w:firstLine="283"/>
      </w:pPr>
      <w:r>
        <w:t>A. Certain contractors may receive preferential treatment, allowing them opportunities to inflate margins during the tender process.</w:t>
      </w:r>
    </w:p>
    <w:p>
      <w:pPr>
        <w:spacing w:line="360" w:lineRule="auto" w:after="20"/>
        <w:ind w:firstLine="283"/>
      </w:pPr>
      <w:r>
        <w:t>B. Unsuccessful bidders are informed of decisions and provided detailed justifications for awarding the contracts.</w:t>
      </w:r>
    </w:p>
    <w:p>
      <w:pPr>
        <w:spacing w:line="360" w:lineRule="auto" w:after="20"/>
        <w:ind w:firstLine="283"/>
      </w:pPr>
      <w:r>
        <w:t>C. Procurement and contracting processes involve the management of the tender process, which may lack sufficient oversight.</w:t>
      </w:r>
    </w:p>
    <w:p>
      <w:pPr>
        <w:spacing w:line="360" w:lineRule="auto" w:after="20"/>
        <w:ind w:firstLine="283"/>
      </w:pPr>
      <w:r>
        <w:t>D. Publishing tender information.</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识别采购腐败的两个典型成因：偏袒特定承包商与招标流程缺乏监督</w:t>
      </w:r>
    </w:p>
    <w:p>
      <w:pPr>
        <w:spacing w:before="120" w:after="40"/>
      </w:pPr>
      <w:r>
        <w:rPr>
          <w:b/>
          <w:sz w:val="21"/>
          <w:shd w:fill="D6E4F0" w:val="clear"/>
        </w:rPr>
        <w:t>核心解析</w:t>
      </w:r>
    </w:p>
    <w:p>
      <w:pPr>
        <w:spacing w:line="360" w:lineRule="auto" w:after="40"/>
        <w:ind w:firstLine="420"/>
      </w:pPr>
      <w:r>
        <w:t>教材以政府合同为例指出，腐败可表现为将合同定向授予某组织以换取回扣</w:t>
      </w:r>
      <w:r>
        <w:rPr>
          <w:sz w:val="15"/>
          <w:vertAlign w:val="superscript"/>
        </w:rPr>
        <w:t>P58</w:t>
      </w:r>
      <w:r>
        <w:t>。同时，接触合法招标的人员参与贿赂和腐败的风险更高，原因在于招标流程若缺乏有效监督，便为偏袒和索贿提供了机会</w:t>
      </w:r>
      <w:r>
        <w:rPr>
          <w:sz w:val="15"/>
          <w:vertAlign w:val="superscript"/>
        </w:rPr>
        <w:t>P320</w:t>
      </w:r>
      <w:r>
        <w:t>。题干问的是公司内部货物与服务供应为何易受索贿、回扣影响，本质上与此相通：承包商受到优待（A）会制造抬高报价、输送回扣的空间；采购和合同流程若缺乏足够监督（C），则无法约束这类行为。两个正确项直接对应腐败发生的两个关键条件——主观偏袒与客观监督缺失。</w:t>
      </w:r>
    </w:p>
    <w:p>
      <w:pPr>
        <w:spacing w:before="120" w:after="40"/>
      </w:pPr>
      <w:r>
        <w:rPr>
          <w:b/>
          <w:sz w:val="21"/>
          <w:shd w:fill="D6E4F0" w:val="clear"/>
        </w:rPr>
        <w:t>教材原句</w:t>
      </w:r>
    </w:p>
    <w:p>
      <w:pPr>
        <w:spacing w:line="360" w:lineRule="auto" w:after="40"/>
        <w:ind w:firstLine="420"/>
      </w:pPr>
      <w:r>
        <w:t>"Corruption might be favors where the PEP directs government contracts to an organization in return for kickbacks."</w:t>
      </w:r>
    </w:p>
    <w:p>
      <w:pPr>
        <w:spacing w:before="120" w:after="40"/>
      </w:pPr>
      <w:r>
        <w:rPr>
          <w:b/>
          <w:sz w:val="21"/>
          <w:shd w:fill="D6E4F0" w:val="clear"/>
        </w:rPr>
        <w:t>B项错误</w:t>
      </w:r>
    </w:p>
    <w:p>
      <w:pPr>
        <w:spacing w:line="360" w:lineRule="auto" w:after="40"/>
        <w:ind w:firstLine="420"/>
      </w:pPr>
      <w:r>
        <w:t>告知未中标者决定并提供详细理由，属于增加透明度的做法，题干问的是造成腐败脆弱性的原因，相比之下，这种做法更利于防范而非滋生腐败，与题干逻辑方向相反。</w:t>
      </w:r>
    </w:p>
    <w:p>
      <w:pPr>
        <w:spacing w:before="120" w:after="40"/>
      </w:pPr>
      <w:r>
        <w:rPr>
          <w:b/>
          <w:sz w:val="21"/>
          <w:shd w:fill="D6E4F0" w:val="clear"/>
        </w:rPr>
        <w:t>D项错误</w:t>
      </w:r>
    </w:p>
    <w:p>
      <w:pPr>
        <w:spacing w:line="360" w:lineRule="auto" w:after="40"/>
        <w:ind w:firstLine="420"/>
      </w:pPr>
      <w:r>
        <w:t>发布投标信息是公开竞争的基础，能减少暗箱操作空间，对于题干所问的腐败成因，它更接近一项控制措施而非脆弱性来源，匹配度不如直接指出流程缺陷的A和C。</w:t>
      </w:r>
    </w:p>
    <w:p>
      <w:pPr>
        <w:spacing w:before="120" w:after="40"/>
      </w:pPr>
      <w:r>
        <w:rPr>
          <w:b/>
          <w:sz w:val="21"/>
          <w:shd w:fill="D6E4F0" w:val="clear"/>
        </w:rPr>
        <w:t>易错提醒</w:t>
      </w:r>
    </w:p>
    <w:p>
      <w:pPr>
        <w:spacing w:line="360" w:lineRule="auto" w:after="40"/>
        <w:ind w:firstLine="420"/>
      </w:pPr>
      <w:r>
        <w:t>学生可能将“透明措施”错当腐败原因。腐败脆弱性来自流程缺陷，如偏袒、监督缺失</w:t>
      </w:r>
      <w:r>
        <w:rPr>
          <w:sz w:val="15"/>
          <w:vertAlign w:val="superscript"/>
        </w:rPr>
        <w:t>P58、P320</w:t>
      </w:r>
      <w:r>
        <w:t>，而公开信息、说明理由等做法是降低腐败机会的控制手段，解题时应根据题干问的是“原因”还是“控制”来区分。</w:t>
      </w:r>
    </w:p>
    <w:p>
      <w:pPr>
        <w:spacing w:line="360" w:lineRule="auto" w:after="120"/>
      </w:pPr>
      <w:r/>
    </w:p>
    <w:p>
      <w:pPr>
        <w:spacing w:line="360" w:lineRule="auto" w:after="40"/>
      </w:pPr>
      <w:r>
        <w:t>3. The degree of attraction that a company holds for criminal organizations is influenced by which of the following factors? (Select Two.) ( )</w:t>
      </w:r>
    </w:p>
    <w:p>
      <w:pPr>
        <w:spacing w:line="360" w:lineRule="auto" w:after="20"/>
        <w:ind w:firstLine="283"/>
      </w:pPr>
      <w:r>
        <w:t>A. Amount of annual fees associated with the jurisdiction</w:t>
      </w:r>
    </w:p>
    <w:p>
      <w:pPr>
        <w:spacing w:line="360" w:lineRule="auto" w:after="20"/>
        <w:ind w:firstLine="283"/>
      </w:pPr>
      <w:r>
        <w:t>B. Permissibility of bearer shares</w:t>
      </w:r>
    </w:p>
    <w:p>
      <w:pPr>
        <w:spacing w:line="360" w:lineRule="auto" w:after="20"/>
        <w:ind w:firstLine="283"/>
      </w:pPr>
      <w:r>
        <w:t>C. Rules governing the disclosure of beneficial ownership by the jurisdiction</w:t>
      </w:r>
    </w:p>
    <w:p>
      <w:pPr>
        <w:spacing w:line="360" w:lineRule="auto" w:after="20"/>
        <w:ind w:firstLine="283"/>
      </w:pPr>
      <w:r>
        <w:t>D. Ease of travel to the jurisdiction</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考察无记名股票与受益所有权披露规定如何影响公司对犯罪组织的吸引力</w:t>
      </w:r>
    </w:p>
    <w:p>
      <w:pPr>
        <w:spacing w:before="120" w:after="40"/>
      </w:pPr>
      <w:r>
        <w:rPr>
          <w:b/>
          <w:sz w:val="21"/>
          <w:shd w:fill="D6E4F0" w:val="clear"/>
        </w:rPr>
        <w:t>核心解析</w:t>
      </w:r>
    </w:p>
    <w:p>
      <w:pPr>
        <w:spacing w:line="360" w:lineRule="auto" w:after="40"/>
        <w:ind w:firstLine="420"/>
      </w:pPr>
      <w:r>
        <w:t>不记名股票（bearer shares）指持有者即为名义所有人，使真实所有权可被隐藏</w:t>
      </w:r>
      <w:r>
        <w:rPr>
          <w:sz w:val="15"/>
          <w:vertAlign w:val="superscript"/>
        </w:rPr>
        <w:t>P55</w:t>
      </w:r>
      <w:r>
        <w:t>。犯罪分子会选择监管宽松或税收优惠的司法管辖区以隐藏活动和避税</w:t>
      </w:r>
      <w:r>
        <w:rPr>
          <w:sz w:val="15"/>
          <w:vertAlign w:val="superscript"/>
        </w:rPr>
        <w:t>P76</w:t>
      </w:r>
      <w:r>
        <w:t>，而受益所有权报告在许多司法管辖区强制执行正是为了揭露隐藏的所有权结构和壳公司滥用</w:t>
      </w:r>
      <w:r>
        <w:rPr>
          <w:sz w:val="15"/>
          <w:vertAlign w:val="superscript"/>
        </w:rPr>
        <w:t>P298</w:t>
      </w:r>
      <w:r>
        <w:t>。题干问公司对犯罪组织的吸引力受哪两个因素影响，正是：是否允许发行不记名股票（B），以及司法管辖区对披露受益所有权的规定（C）。两者直接关系犯罪组织能否通过公司隐匿真实控制权，因此构成核心吸引力因素。</w:t>
      </w:r>
    </w:p>
    <w:p>
      <w:pPr>
        <w:spacing w:before="120" w:after="40"/>
      </w:pPr>
      <w:r>
        <w:rPr>
          <w:b/>
          <w:sz w:val="21"/>
          <w:shd w:fill="D6E4F0" w:val="clear"/>
        </w:rPr>
        <w:t>教材原句</w:t>
      </w:r>
    </w:p>
    <w:p>
      <w:pPr>
        <w:spacing w:line="360" w:lineRule="auto" w:after="40"/>
        <w:ind w:firstLine="420"/>
      </w:pPr>
      <w:r>
        <w:t>"Sometimes, the stock of these shell corporations is issued in bearer shares, which means that whoever carries them is the purported owner."</w:t>
      </w:r>
    </w:p>
    <w:p>
      <w:pPr>
        <w:spacing w:before="120" w:after="40"/>
      </w:pPr>
      <w:r>
        <w:rPr>
          <w:b/>
          <w:sz w:val="21"/>
          <w:shd w:fill="D6E4F0" w:val="clear"/>
        </w:rPr>
        <w:t>A项错误</w:t>
      </w:r>
    </w:p>
    <w:p>
      <w:pPr>
        <w:spacing w:line="360" w:lineRule="auto" w:after="40"/>
        <w:ind w:firstLine="420"/>
      </w:pPr>
      <w:r>
        <w:t>教材中提及私人银行费用基于AUM</w:t>
      </w:r>
      <w:r>
        <w:rPr>
          <w:sz w:val="15"/>
          <w:vertAlign w:val="superscript"/>
        </w:rPr>
        <w:t>P71</w:t>
      </w:r>
      <w:r>
        <w:t>，但未将年度费用与犯罪组织选择司法管辖区的吸引力直接关联。犯罪组织主要寻求隐藏身份和逃避监管，费用金额的匹配度明显低于允许匿名所有权和宽松披露规定这两项因素。</w:t>
      </w:r>
    </w:p>
    <w:p>
      <w:pPr>
        <w:spacing w:before="120" w:after="40"/>
      </w:pPr>
      <w:r>
        <w:rPr>
          <w:b/>
          <w:sz w:val="21"/>
          <w:shd w:fill="D6E4F0" w:val="clear"/>
        </w:rPr>
        <w:t>D项错误</w:t>
      </w:r>
    </w:p>
    <w:p>
      <w:pPr>
        <w:spacing w:line="360" w:lineRule="auto" w:after="40"/>
        <w:ind w:firstLine="420"/>
      </w:pPr>
      <w:r>
        <w:t>教材在讨论司法管辖区风险时，均围绕监管严格程度、受益所有权登记等要素（P76, P129），未提及旅行便利性。犯罪组织通过壳公司等结构运作，常无需实际前往该地，故旅行便利性对吸引力的支撑远不及披露规定和无记名股票那样直接。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