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CH03 (EN)</w:t>
      </w:r>
    </w:p>
    <w:p>
      <w:pPr>
        <w:spacing w:line="360" w:lineRule="auto" w:after="160"/>
      </w:pPr>
      <w:r>
        <w:t>一、单项选择题</w:t>
      </w:r>
    </w:p>
    <w:p>
      <w:pPr>
        <w:spacing w:line="360" w:lineRule="auto" w:after="40"/>
      </w:pPr>
      <w:r>
        <w:t>1. Which of the following presents the highest money laundering risk from a money services business (MSB)? ( )</w:t>
      </w:r>
    </w:p>
    <w:p>
      <w:pPr>
        <w:spacing w:line="360" w:lineRule="auto" w:after="20"/>
        <w:ind w:firstLine="283"/>
      </w:pPr>
      <w:r>
        <w:t>A. Some MSBs provide bureau de change services to retail customers after they complete a due diligence process.</w:t>
      </w:r>
    </w:p>
    <w:p>
      <w:pPr>
        <w:spacing w:line="360" w:lineRule="auto" w:after="20"/>
        <w:ind w:firstLine="283"/>
      </w:pPr>
      <w:r>
        <w:t>B. Some MSBs process large, individual cash transactions on behalf of customers.</w:t>
      </w:r>
    </w:p>
    <w:p>
      <w:pPr>
        <w:spacing w:line="360" w:lineRule="auto" w:after="20"/>
        <w:ind w:firstLine="283"/>
      </w:pPr>
      <w:r>
        <w:t>C. Some MSBs allow regular and frequent transactions to the same family members based in another country.</w:t>
      </w:r>
    </w:p>
    <w:p>
      <w:pPr>
        <w:spacing w:line="360" w:lineRule="auto" w:after="20"/>
        <w:ind w:firstLine="283"/>
      </w:pPr>
      <w:r>
        <w:t>D. Some MSBs process small remittance payments on behalf of workers based abroad sending money home.</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MSB最高洗钱风险因素：大额现金交易及资金来源追踪困难</w:t>
      </w:r>
    </w:p>
    <w:p>
      <w:pPr>
        <w:spacing w:before="120" w:after="40"/>
      </w:pPr>
      <w:r>
        <w:rPr>
          <w:b/>
          <w:sz w:val="21"/>
          <w:shd w:fill="D6E4F0" w:val="clear"/>
        </w:rPr>
        <w:t>核心解析</w:t>
      </w:r>
    </w:p>
    <w:p>
      <w:pPr>
        <w:spacing w:line="360" w:lineRule="auto" w:after="40"/>
        <w:ind w:firstLine="420"/>
      </w:pPr>
      <w:r>
        <w:t>教材将无银行账户客户依赖现金交易视为MSB面临的核心洗钱风险之一：现金交易给MSB带来追踪困难，且难以确认资金来源</w:t>
      </w:r>
      <w:r>
        <w:rPr>
          <w:sz w:val="15"/>
          <w:vertAlign w:val="superscript"/>
        </w:rPr>
        <w:t>P95</w:t>
      </w:r>
      <w:r>
        <w:t>。题干选项B中“处理大额单笔现金交易”直接命中这两个维度——“大额”放大敞口，“单笔”意味着缺乏分散化的掩护，“现金”则天然具备匿名性且难以追溯来源。相比之下，选项A已完成尽调、选项D是小额常规汇款，均不具备选项B那种由现金匿名性与难以追踪所导致的固有高风险。选项C虽涉及跨境，但题干未提及其现金属性或额度异常，风险匹配度不如选项B直接。</w:t>
      </w:r>
    </w:p>
    <w:p>
      <w:pPr>
        <w:spacing w:before="120" w:after="40"/>
      </w:pPr>
      <w:r>
        <w:rPr>
          <w:b/>
          <w:sz w:val="21"/>
          <w:shd w:fill="D6E4F0" w:val="clear"/>
        </w:rPr>
        <w:t>教材原句</w:t>
      </w:r>
    </w:p>
    <w:p>
      <w:pPr>
        <w:spacing w:line="360" w:lineRule="auto" w:after="40"/>
        <w:ind w:firstLine="420"/>
      </w:pPr>
      <w:r>
        <w:t>"Unbanked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A项错误</w:t>
      </w:r>
    </w:p>
    <w:p>
      <w:pPr>
        <w:spacing w:line="360" w:lineRule="auto" w:after="40"/>
        <w:ind w:firstLine="420"/>
      </w:pPr>
      <w:r>
        <w:t>该选项描述的是客户已通过尽调程序后开展的常规货币兑换服务。教材明确指出MSB服务包括货币兑换</w:t>
      </w:r>
      <w:r>
        <w:rPr>
          <w:sz w:val="15"/>
          <w:vertAlign w:val="superscript"/>
        </w:rPr>
        <w:t>P93</w:t>
      </w:r>
      <w:r>
        <w:t>，且在完成客户尽调后提供服务属于合规操作，这与题目所问的“最高洗钱风险”方向相反。题干更直接支持的并非有管控的常规业务场景。</w:t>
      </w:r>
    </w:p>
    <w:p>
      <w:pPr>
        <w:spacing w:before="120" w:after="40"/>
      </w:pPr>
      <w:r>
        <w:rPr>
          <w:b/>
          <w:sz w:val="21"/>
          <w:shd w:fill="D6E4F0" w:val="clear"/>
        </w:rPr>
        <w:t>C项错误：该选项描述了向境外同一家族成员定期汇款的行为。教材在MSB风险中并未将“向同一家族成员定期汇款”单列或定性为先天高风险。题干缺少两个关键要素</w:t>
      </w:r>
    </w:p>
    <w:p>
      <w:pPr>
        <w:spacing w:line="360" w:lineRule="auto" w:after="40"/>
        <w:ind w:firstLine="420"/>
      </w:pPr>
      <w:r>
        <w:t>一是未提到这些交易以现金形式进行，二是未提及交易金额大小。由此，该选项与教材明列的现金风险</w:t>
      </w:r>
      <w:r>
        <w:rPr>
          <w:sz w:val="15"/>
          <w:vertAlign w:val="superscript"/>
        </w:rPr>
        <w:t>P95</w:t>
      </w:r>
      <w:r>
        <w:t>的匹配度，不如选项B直接。</w:t>
      </w:r>
    </w:p>
    <w:p>
      <w:pPr>
        <w:spacing w:before="120" w:after="40"/>
      </w:pPr>
      <w:r>
        <w:rPr>
          <w:b/>
          <w:sz w:val="21"/>
          <w:shd w:fill="D6E4F0" w:val="clear"/>
        </w:rPr>
        <w:t>D项错误</w:t>
      </w:r>
    </w:p>
    <w:p>
      <w:pPr>
        <w:spacing w:line="360" w:lineRule="auto" w:after="40"/>
        <w:ind w:firstLine="420"/>
      </w:pPr>
      <w:r>
        <w:t>该选项描述的是海外务工人员将小额汇款汇回国内。教材指出MSB历史上主要用于为个人客户提供更快更便宜的跨境交易</w:t>
      </w:r>
      <w:r>
        <w:rPr>
          <w:sz w:val="15"/>
          <w:vertAlign w:val="superscript"/>
        </w:rPr>
        <w:t>P93</w:t>
      </w:r>
      <w:r>
        <w:t>。该场景属于MSB典型的常规低额汇款业务，并非教材识别的MSB高风险特征。题干更支持的仍是大额现金交易因匿名性和来源核查困难而具备的风险。</w:t>
      </w:r>
    </w:p>
    <w:p>
      <w:pPr>
        <w:spacing w:before="120" w:after="40"/>
      </w:pPr>
      <w:r>
        <w:rPr>
          <w:b/>
          <w:sz w:val="21"/>
          <w:shd w:fill="D6E4F0" w:val="clear"/>
        </w:rPr>
        <w:t>易错提醒</w:t>
      </w:r>
    </w:p>
    <w:p>
      <w:pPr>
        <w:spacing w:line="360" w:lineRule="auto" w:after="40"/>
        <w:ind w:firstLine="420"/>
      </w:pPr>
      <w:r>
        <w:t>概念混淆：大额现金交易因匿名性和来源追踪困难</w:t>
      </w:r>
      <w:r>
        <w:rPr>
          <w:sz w:val="15"/>
          <w:vertAlign w:val="superscript"/>
        </w:rPr>
        <w:t>P95</w:t>
      </w:r>
      <w:r>
        <w:t>被教材列为MSB独立风险类别，而非所有跨境交易都具备同等风险。答题时应优先匹配教材原文列出的具体风险因素，并检查题干是否同时满足“现金”“大额”“来源不明”等关键要件。</w:t>
      </w:r>
    </w:p>
    <w:p>
      <w:pPr>
        <w:spacing w:line="360" w:lineRule="auto" w:after="120"/>
      </w:pPr>
      <w:r/>
    </w:p>
    <w:p>
      <w:pPr>
        <w:spacing w:line="360" w:lineRule="auto" w:after="40"/>
      </w:pPr>
      <w:r>
        <w:t>2. Which of the following risk factors are considered by many supervisory authorities as representing a higher inherent risk associated with MSBs? (Select Two.) ( )</w:t>
      </w:r>
    </w:p>
    <w:p>
      <w:pPr>
        <w:spacing w:line="360" w:lineRule="auto" w:after="20"/>
        <w:ind w:firstLine="283"/>
      </w:pPr>
      <w:r>
        <w:t>A. The use of new technologies to facilitate the onboarding of customers remotely</w:t>
      </w:r>
    </w:p>
    <w:p>
      <w:pPr>
        <w:spacing w:line="360" w:lineRule="auto" w:after="20"/>
        <w:ind w:firstLine="283"/>
      </w:pPr>
      <w:r>
        <w:t>B. The prevalence of international wire transfers</w:t>
      </w:r>
    </w:p>
    <w:p>
      <w:pPr>
        <w:spacing w:line="360" w:lineRule="auto" w:after="20"/>
        <w:ind w:firstLine="283"/>
      </w:pPr>
      <w:r>
        <w:t>C. Domestic business with small and medium-sized enterprises</w:t>
      </w:r>
    </w:p>
    <w:p>
      <w:pPr>
        <w:spacing w:line="360" w:lineRule="auto" w:after="20"/>
        <w:ind w:firstLine="283"/>
      </w:pPr>
      <w:r>
        <w:t>D. The cash-intensive nature of the services offered</w:t>
      </w:r>
    </w:p>
    <w:p>
      <w:pPr>
        <w:spacing w:line="360" w:lineRule="auto" w:after="20"/>
        <w:ind w:firstLine="283"/>
      </w:pPr>
      <w:r>
        <w:t>E. The use of digital channels and traceable payment methods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识别MSB的较高固有风险：现金密集性与跨境电汇普遍性</w:t>
      </w:r>
    </w:p>
    <w:p>
      <w:pPr>
        <w:spacing w:before="120" w:after="40"/>
      </w:pPr>
      <w:r>
        <w:rPr>
          <w:b/>
          <w:sz w:val="21"/>
          <w:shd w:fill="D6E4F0" w:val="clear"/>
        </w:rPr>
        <w:t>核心解析</w:t>
      </w:r>
    </w:p>
    <w:p>
      <w:pPr>
        <w:spacing w:line="360" w:lineRule="auto" w:after="40"/>
        <w:ind w:firstLine="420"/>
      </w:pPr>
      <w:r>
        <w:t>货币服务企业（MSB）是提供货币或价值转移服务的非银行金融机构</w:t>
      </w:r>
      <w:r>
        <w:rPr>
          <w:sz w:val="15"/>
          <w:vertAlign w:val="superscript"/>
        </w:rPr>
        <w:t>P93</w:t>
      </w:r>
      <w:r>
        <w:t>，因其业务特征被监管机构视为较高固有风险。MSB常服务无银行账户客户，这类客户依赖现金，给MSB带来追踪交易和确认资金来源的困难</w:t>
      </w:r>
      <w:r>
        <w:rPr>
          <w:sz w:val="15"/>
          <w:vertAlign w:val="superscript"/>
        </w:rPr>
        <w:t>P95</w:t>
      </w:r>
      <w:r>
        <w:t>，因此“所提供服务的现金密集型特点”（D）直接构成较高风险。同时，MSB的风险通常超出传统金融机构的风险偏好，尤其因涉及大量跨境汇款</w:t>
      </w:r>
      <w:r>
        <w:rPr>
          <w:sz w:val="15"/>
          <w:vertAlign w:val="superscript"/>
        </w:rPr>
        <w:t>P95</w:t>
      </w:r>
      <w:r>
        <w:t>，而电汇具有国际性，更易用于跨境转移资金</w:t>
      </w:r>
      <w:r>
        <w:rPr>
          <w:sz w:val="15"/>
          <w:vertAlign w:val="superscript"/>
        </w:rPr>
        <w:t>P78</w:t>
      </w:r>
      <w:r>
        <w:t>，因此“国际电汇的普遍性”（B）同样是监管关注的固有风险。教材也将现金密集型或高风险行业（如货币服务）列为客户风险评估中的行业风险指标</w:t>
      </w:r>
      <w:r>
        <w:rPr>
          <w:sz w:val="15"/>
          <w:vertAlign w:val="superscript"/>
        </w:rPr>
        <w:t>P312</w:t>
      </w:r>
      <w:r>
        <w:t>。综上，B、D直接契合教材对MSB固有风险的重点描述。</w:t>
      </w:r>
    </w:p>
    <w:p>
      <w:pPr>
        <w:spacing w:before="120" w:after="40"/>
      </w:pPr>
      <w:r>
        <w:rPr>
          <w:b/>
          <w:sz w:val="21"/>
          <w:shd w:fill="D6E4F0" w:val="clear"/>
        </w:rPr>
        <w:t>教材原句</w:t>
      </w:r>
    </w:p>
    <w:p>
      <w:pPr>
        <w:spacing w:line="360" w:lineRule="auto" w:after="40"/>
        <w:ind w:firstLine="420"/>
      </w:pPr>
      <w:r>
        <w:t>"These risks typically fall outside the risk appetite of traditional financial institutions, particularly due to the substantial volume of cross-border remittances."</w:t>
      </w:r>
    </w:p>
    <w:p>
      <w:pPr>
        <w:spacing w:before="120" w:after="40"/>
      </w:pPr>
      <w:r>
        <w:rPr>
          <w:b/>
          <w:sz w:val="21"/>
          <w:shd w:fill="D6E4F0" w:val="clear"/>
        </w:rPr>
        <w:t>A项错误</w:t>
      </w:r>
    </w:p>
    <w:p>
      <w:pPr>
        <w:spacing w:line="360" w:lineRule="auto" w:after="40"/>
        <w:ind w:firstLine="420"/>
      </w:pPr>
      <w:r>
        <w:t>远程开户的便利本身并非MSB的固有高风险。FATF明确，非面对面业务关系仅在未采取适当风险缓解措施时才被视为高风险</w:t>
      </w:r>
      <w:r>
        <w:rPr>
          <w:sz w:val="15"/>
          <w:vertAlign w:val="superscript"/>
        </w:rPr>
        <w:t>P404</w:t>
      </w:r>
      <w:r>
        <w:t>，而题干并未表明措施缺失。相比之下，现金密集性和跨境电汇是MSB固有的、难以完全缓解的风险特征，与题干“较高固有风险”的匹配度更高。</w:t>
      </w:r>
    </w:p>
    <w:p>
      <w:pPr>
        <w:spacing w:before="120" w:after="40"/>
      </w:pPr>
      <w:r>
        <w:rPr>
          <w:b/>
          <w:sz w:val="21"/>
          <w:shd w:fill="D6E4F0" w:val="clear"/>
        </w:rPr>
        <w:t>C项错误</w:t>
      </w:r>
    </w:p>
    <w:p>
      <w:pPr>
        <w:spacing w:line="360" w:lineRule="auto" w:after="40"/>
        <w:ind w:firstLine="420"/>
      </w:pPr>
      <w:r>
        <w:t>MSB确实可为中小企业提供服务</w:t>
      </w:r>
      <w:r>
        <w:rPr>
          <w:sz w:val="15"/>
          <w:vertAlign w:val="superscript"/>
        </w:rPr>
        <w:t>P93</w:t>
      </w:r>
      <w:r>
        <w:t>，但“国内业务”并非教材强调的高风险来源。教材指出MSB的风险重点在于大量跨境汇款</w:t>
      </w:r>
      <w:r>
        <w:rPr>
          <w:sz w:val="15"/>
          <w:vertAlign w:val="superscript"/>
        </w:rPr>
        <w:t>P95</w:t>
      </w:r>
      <w:r>
        <w:t>，国际维度是推高风险偏好的关键。因此“国际电汇的普遍性”比“与中小企业的国内业务”更直接匹配题干。</w:t>
      </w:r>
    </w:p>
    <w:p>
      <w:pPr>
        <w:spacing w:before="120" w:after="40"/>
      </w:pPr>
      <w:r>
        <w:rPr>
          <w:b/>
          <w:sz w:val="21"/>
          <w:shd w:fill="D6E4F0" w:val="clear"/>
        </w:rPr>
        <w:t>E项错误</w:t>
      </w:r>
    </w:p>
    <w:p>
      <w:pPr>
        <w:spacing w:line="360" w:lineRule="auto" w:after="40"/>
        <w:ind w:firstLine="420"/>
      </w:pPr>
      <w:r>
        <w:t>可追踪支付方式的可追溯性有助于金融犯罪检测，教材并未将其列为风险因素；相反，不可追溯的现金和高风险的跨境电汇才是教材反复指出的风险点。因此该选项与题干所问的“较高固有风险”匹配度低。</w:t>
      </w:r>
    </w:p>
    <w:p>
      <w:pPr>
        <w:spacing w:before="120" w:after="40"/>
      </w:pPr>
      <w:r>
        <w:rPr>
          <w:b/>
          <w:sz w:val="21"/>
          <w:shd w:fill="D6E4F0" w:val="clear"/>
        </w:rPr>
        <w:t>易错提醒</w:t>
      </w:r>
    </w:p>
    <w:p>
      <w:pPr>
        <w:spacing w:line="360" w:lineRule="auto" w:after="40"/>
        <w:ind w:firstLine="420"/>
      </w:pPr>
      <w:r>
        <w:t>远程开户本身不构成MSB的较高固有风险：FATF明确非面对面业务关系仅在未采取适当风险缓解措施时才被视为高风险</w:t>
      </w:r>
      <w:r>
        <w:rPr>
          <w:sz w:val="15"/>
          <w:vertAlign w:val="superscript"/>
        </w:rPr>
        <w:t>P404</w:t>
      </w:r>
      <w:r>
        <w:t>。而现金密集性和跨境电汇是MSB业务模式固有的、难以完全缓解的特征。</w:t>
      </w:r>
    </w:p>
    <w:p>
      <w:pPr>
        <w:spacing w:line="360" w:lineRule="auto" w:after="120"/>
      </w:pPr>
      <w:r/>
    </w:p>
    <w:p>
      <w:pPr>
        <w:spacing w:line="360" w:lineRule="auto" w:after="40"/>
      </w:pPr>
      <w:r>
        <w:t>3. What are the common financial crime risks posed to the e-commerce business model? (Select Three.) ( )</w:t>
      </w:r>
    </w:p>
    <w:p>
      <w:pPr>
        <w:spacing w:line="360" w:lineRule="auto" w:after="20"/>
        <w:ind w:firstLine="283"/>
      </w:pPr>
      <w:r>
        <w:t>A. Committing fraud against the customer by failing to deliver goods or services</w:t>
      </w:r>
    </w:p>
    <w:p>
      <w:pPr>
        <w:spacing w:line="360" w:lineRule="auto" w:after="20"/>
        <w:ind w:firstLine="283"/>
      </w:pPr>
      <w:r>
        <w:t>B. Abusing online marketplaces to move criminally obtained funds</w:t>
      </w:r>
    </w:p>
    <w:p>
      <w:pPr>
        <w:spacing w:line="360" w:lineRule="auto" w:after="20"/>
        <w:ind w:firstLine="283"/>
      </w:pPr>
      <w:r>
        <w:t>C. Evading export control regulations</w:t>
      </w:r>
    </w:p>
    <w:p>
      <w:pPr>
        <w:spacing w:line="360" w:lineRule="auto" w:after="20"/>
        <w:ind w:firstLine="283"/>
      </w:pPr>
      <w:r>
        <w:t>D. Buying goods or services using stolen bank card data</w:t>
      </w:r>
    </w:p>
    <w:p>
      <w:pPr>
        <w:spacing w:line="360" w:lineRule="auto" w:after="20"/>
        <w:ind w:firstLine="283"/>
      </w:pPr>
      <w:r>
        <w:t>E. Committing bribery and corruption</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识别电子商务相关的关键金融犯罪风险</w:t>
      </w:r>
    </w:p>
    <w:p>
      <w:pPr>
        <w:spacing w:before="120" w:after="40"/>
      </w:pPr>
      <w:r>
        <w:rPr>
          <w:b/>
          <w:sz w:val="21"/>
          <w:shd w:fill="D6E4F0" w:val="clear"/>
        </w:rPr>
        <w:t>核心解析</w:t>
      </w:r>
    </w:p>
    <w:p>
      <w:pPr>
        <w:spacing w:line="360" w:lineRule="auto" w:after="40"/>
        <w:ind w:firstLine="420"/>
      </w:pPr>
      <w:r>
        <w:t>教材在P98列举了与电子商务相关的关键金融犯罪风险，包括：消费者欺诈（卖家收款后不交付商品或服务）、使用被盗信用卡或借记卡数据购买商品或服务、利用电子商务企业清洗非法资金。选项A“对客户实施欺诈”直接对应消费者欺诈，选项B“利用在线市场转移犯罪所得资金”对应清洗非法资金，选项D“使用被盗银行卡数据购买商品或服务”对应使用被盗卡购物。这三个选项均在教材明确列出的电子商务风险清单内，因此是电子商务商业模式面临的常见金融犯罪风险。</w:t>
      </w:r>
    </w:p>
    <w:p>
      <w:pPr>
        <w:spacing w:before="120" w:after="40"/>
      </w:pPr>
      <w:r>
        <w:rPr>
          <w:b/>
          <w:sz w:val="21"/>
          <w:shd w:fill="D6E4F0" w:val="clear"/>
        </w:rPr>
        <w:t>教材原句</w:t>
      </w:r>
    </w:p>
    <w:p>
      <w:pPr>
        <w:spacing w:line="360" w:lineRule="auto" w:after="40"/>
        <w:ind w:firstLine="420"/>
      </w:pPr>
      <w:r>
        <w:t>"Key financial crime risks associated with e-commerce include:"</w:t>
      </w:r>
    </w:p>
    <w:p>
      <w:pPr>
        <w:spacing w:before="120" w:after="40"/>
      </w:pPr>
      <w:r>
        <w:rPr>
          <w:b/>
          <w:sz w:val="21"/>
          <w:shd w:fill="D6E4F0" w:val="clear"/>
        </w:rPr>
        <w:t>C项错误</w:t>
      </w:r>
    </w:p>
    <w:p>
      <w:pPr>
        <w:spacing w:line="360" w:lineRule="auto" w:after="40"/>
        <w:ind w:firstLine="420"/>
      </w:pPr>
      <w:r>
        <w:t>选项C涉及规避出口管制规定，在教材中属于制裁规避中的贸易相关方法</w:t>
      </w:r>
      <w:r>
        <w:rPr>
          <w:sz w:val="15"/>
          <w:vertAlign w:val="superscript"/>
        </w:rPr>
        <w:t>P23</w:t>
      </w:r>
      <w:r>
        <w:t>，但未出现在P98电子商务风险清单中。相比之下，题干更支持与电商交易环节直接相关的欺诈和洗钱风险。</w:t>
      </w:r>
    </w:p>
    <w:p>
      <w:pPr>
        <w:spacing w:before="120" w:after="40"/>
      </w:pPr>
      <w:r>
        <w:rPr>
          <w:b/>
          <w:sz w:val="21"/>
          <w:shd w:fill="D6E4F0" w:val="clear"/>
        </w:rPr>
        <w:t>E项错误</w:t>
      </w:r>
    </w:p>
    <w:p>
      <w:pPr>
        <w:spacing w:line="360" w:lineRule="auto" w:after="40"/>
        <w:ind w:firstLine="420"/>
      </w:pPr>
      <w:r>
        <w:t>选项E的行贿受贿和贪污腐败在教材中被列为上游犯罪</w:t>
      </w:r>
      <w:r>
        <w:rPr>
          <w:sz w:val="15"/>
          <w:vertAlign w:val="superscript"/>
        </w:rPr>
        <w:t>P22</w:t>
      </w:r>
      <w:r>
        <w:t>，属于普遍性金融犯罪，但未作为电子商务特有的常见风险列入P98的清单。在本题条件下，电子商务风险清单更贴切地反映了题干所指。</w:t>
      </w:r>
    </w:p>
    <w:p>
      <w:pPr>
        <w:spacing w:line="360" w:lineRule="auto" w:after="120"/>
      </w:pPr>
      <w:r/>
    </w:p>
    <w:p>
      <w:pPr>
        <w:spacing w:line="360" w:lineRule="auto" w:after="40"/>
      </w:pPr>
      <w:r>
        <w:t>4. Which of the following scenarios describe common risk indicators of money laundering faced by operators of legitimate money services businesses (MSBs)? (Select Three.) ( )</w:t>
      </w:r>
    </w:p>
    <w:p>
      <w:pPr>
        <w:spacing w:line="360" w:lineRule="auto" w:after="20"/>
        <w:ind w:firstLine="283"/>
      </w:pPr>
      <w:r>
        <w:t>A. A customer changes multiple high-denomination notes to low-denomination notes.</w:t>
      </w:r>
    </w:p>
    <w:p>
      <w:pPr>
        <w:spacing w:line="360" w:lineRule="auto" w:after="20"/>
        <w:ind w:firstLine="283"/>
      </w:pPr>
      <w:r>
        <w:t>B. A customer conducts cash transactions using multiple branches of the MSB on the same day.</w:t>
      </w:r>
    </w:p>
    <w:p>
      <w:pPr>
        <w:spacing w:line="360" w:lineRule="auto" w:after="20"/>
        <w:ind w:firstLine="283"/>
      </w:pPr>
      <w:r>
        <w:t>C. A customer has a family link to the destination of a money transfer.</w:t>
      </w:r>
    </w:p>
    <w:p>
      <w:pPr>
        <w:spacing w:line="360" w:lineRule="auto" w:after="20"/>
        <w:ind w:firstLine="283"/>
      </w:pPr>
      <w:r>
        <w:t>D. A customer sends and receives money transfers in equal amounts at or about the same time.</w:t>
      </w:r>
    </w:p>
    <w:p>
      <w:pPr>
        <w:spacing w:line="360" w:lineRule="auto" w:after="20"/>
        <w:ind w:firstLine="283"/>
      </w:pPr>
      <w:r>
        <w:t>E. A customer wants to deal only with a particular employee of the money services business (MSB).</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识别MSB因现金依赖所产生的追踪与来源确认风险</w:t>
      </w:r>
    </w:p>
    <w:p>
      <w:pPr>
        <w:spacing w:before="120" w:after="40"/>
      </w:pPr>
      <w:r>
        <w:rPr>
          <w:b/>
          <w:sz w:val="21"/>
          <w:shd w:fill="D6E4F0" w:val="clear"/>
        </w:rPr>
        <w:t>核心解析</w:t>
      </w:r>
    </w:p>
    <w:p>
      <w:pPr>
        <w:spacing w:line="360" w:lineRule="auto" w:after="40"/>
        <w:ind w:firstLine="420"/>
      </w:pPr>
      <w:r>
        <w:t>无银行账户者依赖现金，给MSB带来高频交易追踪和资金来源确认困难</w:t>
      </w:r>
      <w:r>
        <w:rPr>
          <w:sz w:val="15"/>
          <w:vertAlign w:val="superscript"/>
        </w:rPr>
        <w:t>P95</w:t>
      </w:r>
      <w:r>
        <w:t>。题干选项A（大面额换小面额）关联现金兑换，增加了资金来源追溯难度；选项B（同日多分支机构交易）通过分散网点处理现金，在教材对MSB服务无银行账户客户及面临复杂许可要求的描述下</w:t>
      </w:r>
      <w:r>
        <w:rPr>
          <w:sz w:val="15"/>
          <w:vertAlign w:val="superscript"/>
        </w:rPr>
        <w:t>P95</w:t>
      </w:r>
      <w:r>
        <w:t>，更易规避监控；选项D（同时等额收发）虽涉及哈瓦拉等替代性汇款系统（P133-134），但其模式表现为利用MSB在不同账户间以等额资金迅速对冲收付，同样显示出资金流动与来源匹配的异常。三者均直接体现MSB经营者面临的常见洗钱风险，核心在于现金交易的隐蔽性和可追踪性低。</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C项错误</w:t>
      </w:r>
    </w:p>
    <w:p>
      <w:pPr>
        <w:spacing w:line="360" w:lineRule="auto" w:after="40"/>
        <w:ind w:firstLine="420"/>
      </w:pPr>
      <w:r>
        <w:t>教材在讨论MSB风险时，更关注交易本身的客观异常模式（如大额现金、频繁操作），而“亲属关系”本身不是教材所列的MSB特有风险指标。题干未提示交易金额、频率、来源等其他可疑要素，单纯的家庭联系在比对下更接近于正常汇款的合理理由，而非洗钱风险信号。</w:t>
      </w:r>
    </w:p>
    <w:p>
      <w:pPr>
        <w:spacing w:before="120" w:after="40"/>
      </w:pPr>
      <w:r>
        <w:rPr>
          <w:b/>
          <w:sz w:val="21"/>
          <w:shd w:fill="D6E4F0" w:val="clear"/>
        </w:rPr>
        <w:t>E项错误</w:t>
      </w:r>
    </w:p>
    <w:p>
      <w:pPr>
        <w:spacing w:line="360" w:lineRule="auto" w:after="40"/>
        <w:ind w:firstLine="420"/>
      </w:pPr>
      <w:r>
        <w:t>教材中与MSB相关的风险指标主要围绕现金交易、追踪困难、缺乏财务记录等</w:t>
      </w:r>
      <w:r>
        <w:rPr>
          <w:sz w:val="15"/>
          <w:vertAlign w:val="superscript"/>
        </w:rPr>
        <w:t>P95</w:t>
      </w:r>
      <w:r>
        <w:t>，“只愿与特定员工打交道”这一场景需要结合该员工是否协助规避控制才能形成风险判断，题干并未提供此类情节。相比之下，选项A、B、D直接指向资金异动和来源不清，更适合作为MSB的常见风险指标。</w:t>
      </w:r>
    </w:p>
    <w:p>
      <w:pPr>
        <w:spacing w:before="120" w:after="40"/>
      </w:pPr>
      <w:r>
        <w:rPr>
          <w:b/>
          <w:sz w:val="21"/>
          <w:shd w:fill="D6E4F0" w:val="clear"/>
        </w:rPr>
        <w:t>易错提醒</w:t>
      </w:r>
    </w:p>
    <w:p>
      <w:pPr>
        <w:spacing w:line="360" w:lineRule="auto" w:after="40"/>
        <w:ind w:firstLine="420"/>
      </w:pPr>
      <w:r>
        <w:t>“亲属关系”容易被误认为风险指标，但在教材框架下，MSB风险指标更多指向现金交易模式异常（如换钞、拆分网点、等额对冲），而非交易目的（如亲属汇款）。注意区分交易背景合理性与交易行为客观异常性。</w:t>
      </w:r>
    </w:p>
    <w:p>
      <w:pPr>
        <w:spacing w:line="360" w:lineRule="auto" w:after="120"/>
      </w:pPr>
      <w:r/>
    </w:p>
    <w:p>
      <w:pPr>
        <w:spacing w:line="360" w:lineRule="auto" w:after="40"/>
      </w:pPr>
      <w:r>
        <w:t>5. Which financial crime risks are inherent to e-commerce platforms? (Select four.) ( )</w:t>
      </w:r>
    </w:p>
    <w:p>
      <w:pPr>
        <w:spacing w:line="360" w:lineRule="auto" w:after="20"/>
        <w:ind w:firstLine="283"/>
      </w:pPr>
      <w:r>
        <w:t>A. E-commerce platforms exploited to move criminal proceeds.</w:t>
      </w:r>
    </w:p>
    <w:p>
      <w:pPr>
        <w:spacing w:line="360" w:lineRule="auto" w:after="20"/>
        <w:ind w:firstLine="283"/>
      </w:pPr>
      <w:r>
        <w:t>B. Use of stolen bank cards for online purchases.</w:t>
      </w:r>
    </w:p>
    <w:p>
      <w:pPr>
        <w:spacing w:line="360" w:lineRule="auto" w:after="20"/>
        <w:ind w:firstLine="283"/>
      </w:pPr>
      <w:r>
        <w:t>C. E-commerce platforms susceptible to fraud schemes.</w:t>
      </w:r>
    </w:p>
    <w:p>
      <w:pPr>
        <w:spacing w:line="360" w:lineRule="auto" w:after="20"/>
        <w:ind w:firstLine="283"/>
      </w:pPr>
      <w:r>
        <w:t>D. E-commerce platforms used as a front for illicit transactions.</w:t>
      </w:r>
    </w:p>
    <w:p>
      <w:pPr>
        <w:spacing w:line="360" w:lineRule="auto" w:after="20"/>
        <w:ind w:firstLine="283"/>
      </w:pPr>
      <w:r>
        <w:t>E. E-commerce platforms encouraging unregulated peer-to-peer lending.</w:t>
      </w:r>
    </w:p>
    <w:p>
      <w:pPr>
        <w:spacing w:line="360" w:lineRule="auto" w:after="20"/>
        <w:ind w:firstLine="283"/>
      </w:pPr>
      <w:r>
        <w:t>F. Use of foreign currency to mask criminal proceeds.</w:t>
      </w:r>
    </w:p>
    <w:p>
      <w:pPr>
        <w:spacing w:line="360" w:lineRule="auto" w:after="40"/>
      </w:pPr>
      <w:r>
        <w:t>答案：A、B、C、D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识别教材列举的电子商务平台固有金融犯罪风险</w:t>
      </w:r>
    </w:p>
    <w:p>
      <w:pPr>
        <w:spacing w:before="120" w:after="40"/>
      </w:pPr>
      <w:r>
        <w:rPr>
          <w:b/>
          <w:sz w:val="21"/>
          <w:shd w:fill="D6E4F0" w:val="clear"/>
        </w:rPr>
        <w:t>核心解析</w:t>
      </w:r>
    </w:p>
    <w:p>
      <w:pPr>
        <w:spacing w:line="360" w:lineRule="auto" w:after="40"/>
        <w:ind w:firstLine="420"/>
      </w:pPr>
      <w:r>
        <w:t>教材在P98列举了与电子商务相关的关键金融犯罪风险，包括消费者欺诈、使用被盗信用卡或借记卡购买商品或服务、利用电子商务企业作为非法交易的幌子、以及利用电子商务企业清洗非法资金（转移犯罪所得）。题干要求选出电子商务平台“固有的”金融犯罪风险，选项A、B、C、D正好分别对应这四项列举风险：A对应清洗非法资金/转移犯罪所得，B对应被盗银行卡网上购物，C对应消费者欺诈（易受欺诈手段影响），D对应作为非法交易幌子。由此可推断这四项均在教材的明确列举中，构成正确答案。</w:t>
      </w:r>
    </w:p>
    <w:p>
      <w:pPr>
        <w:spacing w:before="120" w:after="40"/>
      </w:pPr>
      <w:r>
        <w:rPr>
          <w:b/>
          <w:sz w:val="21"/>
          <w:shd w:fill="D6E4F0" w:val="clear"/>
        </w:rPr>
        <w:t>教材原句</w:t>
      </w:r>
    </w:p>
    <w:p>
      <w:pPr>
        <w:spacing w:line="360" w:lineRule="auto" w:after="40"/>
        <w:ind w:firstLine="420"/>
      </w:pPr>
      <w:r>
        <w:t>"Key financial crime risks associated with e-commerce include:"</w:t>
      </w:r>
    </w:p>
    <w:p>
      <w:pPr>
        <w:spacing w:before="120" w:after="40"/>
      </w:pPr>
      <w:r>
        <w:rPr>
          <w:b/>
          <w:sz w:val="21"/>
          <w:shd w:fill="D6E4F0" w:val="clear"/>
        </w:rPr>
        <w:t>E项错误</w:t>
      </w:r>
    </w:p>
    <w:p>
      <w:pPr>
        <w:spacing w:line="360" w:lineRule="auto" w:after="40"/>
        <w:ind w:firstLine="420"/>
      </w:pPr>
      <w:r>
        <w:t>电子商务平台的定义是作为买卖双方的中介，提供数字市场进行商品和服务交易</w:t>
      </w:r>
      <w:r>
        <w:rPr>
          <w:sz w:val="15"/>
          <w:vertAlign w:val="superscript"/>
        </w:rPr>
        <w:t>P96</w:t>
      </w:r>
      <w:r>
        <w:t>，其核心功能不涉及鼓励个人对个人</w:t>
      </w:r>
      <w:r>
        <w:rPr>
          <w:sz w:val="15"/>
          <w:vertAlign w:val="superscript"/>
        </w:rPr>
        <w:t>P2P</w:t>
      </w:r>
      <w:r>
        <w:t>借贷。教材将P2P借贷风险归入众筹或其他资产管理场景</w:t>
      </w:r>
      <w:r>
        <w:rPr>
          <w:sz w:val="15"/>
          <w:vertAlign w:val="superscript"/>
        </w:rPr>
        <w:t>P105</w:t>
      </w:r>
      <w:r>
        <w:t>，而非电子商务平台的固有风险，因此正确项A、B、C、D比E更直接匹配题干语境。</w:t>
      </w:r>
    </w:p>
    <w:p>
      <w:pPr>
        <w:spacing w:line="360" w:lineRule="auto" w:after="40"/>
        <w:ind w:firstLine="420"/>
      </w:pPr>
      <w:r>
        <w:t>F项错误：利用外币掩饰犯罪所得属于外汇兑换市场中的洗钱手法，教材在讨论外汇（FX）风险时指出洗钱者利用外币兑换跨境转移资金</w:t>
      </w:r>
      <w:r>
        <w:rPr>
          <w:sz w:val="15"/>
          <w:vertAlign w:val="superscript"/>
        </w:rPr>
        <w:t>P84</w:t>
      </w:r>
      <w:r>
        <w:t>，但该风险未被列入电子商务平台固有的金融犯罪风险列表。相比之下，正确项全部来自P98对电子商务风险的直接列举，匹配度更高。</w:t>
      </w:r>
    </w:p>
    <w:p>
      <w:pPr>
        <w:spacing w:before="120" w:after="40"/>
      </w:pPr>
      <w:r>
        <w:rPr>
          <w:b/>
          <w:sz w:val="21"/>
          <w:shd w:fill="D6E4F0" w:val="clear"/>
        </w:rPr>
        <w:t>易错提醒</w:t>
      </w:r>
    </w:p>
    <w:p>
      <w:pPr>
        <w:spacing w:line="360" w:lineRule="auto" w:after="40"/>
        <w:ind w:firstLine="420"/>
      </w:pPr>
      <w:r>
        <w:t>电子商务平台固有风险集中在商品与服务交易欺诈、被盗卡使用、幌子和转移犯罪所得，而P2P借贷属于众筹或金融科技平台的风险，切勿将二者混淆（电商平台定义见P96，众筹平台风险见P105）。</w:t>
      </w:r>
    </w:p>
    <w:p>
      <w:pPr>
        <w:spacing w:line="360" w:lineRule="auto" w:after="120"/>
      </w:pPr>
      <w:r/>
    </w:p>
    <w:p>
      <w:pPr>
        <w:spacing w:line="360" w:lineRule="auto" w:after="40"/>
      </w:pPr>
      <w:r>
        <w:t>6. Money services business (MSB) customers present the greatest financial crime risks to mitigate if they: (Select two.) ( )</w:t>
      </w:r>
    </w:p>
    <w:p>
      <w:pPr>
        <w:spacing w:line="360" w:lineRule="auto" w:after="20"/>
        <w:ind w:firstLine="283"/>
      </w:pPr>
      <w:r>
        <w:t>A. Process the activity of a customer's customer</w:t>
      </w:r>
    </w:p>
    <w:p>
      <w:pPr>
        <w:spacing w:line="360" w:lineRule="auto" w:after="20"/>
        <w:ind w:firstLine="283"/>
      </w:pPr>
      <w:r>
        <w:t>B. Conduct a large volume of low-value transactions</w:t>
      </w:r>
    </w:p>
    <w:p>
      <w:pPr>
        <w:spacing w:line="360" w:lineRule="auto" w:after="20"/>
        <w:ind w:firstLine="283"/>
      </w:pPr>
      <w:r>
        <w:t>C. Require registration</w:t>
      </w:r>
    </w:p>
    <w:p>
      <w:pPr>
        <w:spacing w:line="360" w:lineRule="auto" w:after="20"/>
        <w:ind w:firstLine="283"/>
      </w:pPr>
      <w:r>
        <w:t>D. Often send cross-border transfers</w:t>
      </w:r>
    </w:p>
    <w:p>
      <w:pPr>
        <w:spacing w:line="360" w:lineRule="auto" w:after="40"/>
      </w:pPr>
      <w:r>
        <w:t>答案：B、D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识别MSB客户的大量低价值交易与跨境转账高风险特征</w:t>
      </w:r>
    </w:p>
    <w:p>
      <w:pPr>
        <w:spacing w:before="120" w:after="40"/>
      </w:pPr>
      <w:r>
        <w:rPr>
          <w:b/>
          <w:sz w:val="21"/>
          <w:shd w:fill="D6E4F0" w:val="clear"/>
        </w:rPr>
        <w:t>核心解析</w:t>
      </w:r>
    </w:p>
    <w:p>
      <w:pPr>
        <w:spacing w:line="360" w:lineRule="auto" w:after="40"/>
        <w:ind w:firstLine="420"/>
      </w:pPr>
      <w:r>
        <w:t>教材在P95列出了MSB服务无银行账户客户时面临的洗钱和恐怖融资风险清单。其中，“现金交易”风险指无银行账户者依赖现金，给MSB带来追踪大量交易和确认资金来源的困难</w:t>
      </w:r>
      <w:r>
        <w:rPr>
          <w:sz w:val="15"/>
          <w:vertAlign w:val="superscript"/>
        </w:rPr>
        <w:t>P95</w:t>
      </w:r>
      <w:r>
        <w:t>；“跨境汇款”风险指这些风险通常超出传统金融机构的风险偏好，尤其因为大量跨境汇款</w:t>
      </w:r>
      <w:r>
        <w:rPr>
          <w:sz w:val="15"/>
          <w:vertAlign w:val="superscript"/>
        </w:rPr>
        <w:t>P95</w:t>
      </w:r>
      <w:r>
        <w:t>。题干B选项“进行大量低价值交易”直接对应现金交易带来的高交易量追踪困难，D选项“经常进行跨境转账”直接对应跨境汇款风险。两项均出现在教材明确列出的MSB高风险特征清单中，因此是金融犯罪风险最大的两种情况。</w:t>
      </w:r>
    </w:p>
    <w:p>
      <w:pPr>
        <w:spacing w:before="120" w:after="40"/>
      </w:pPr>
      <w:r>
        <w:rPr>
          <w:b/>
          <w:sz w:val="21"/>
          <w:shd w:fill="D6E4F0" w:val="clear"/>
        </w:rPr>
        <w:t>教材原句</w:t>
      </w:r>
    </w:p>
    <w:p>
      <w:pPr>
        <w:spacing w:line="360" w:lineRule="auto" w:after="40"/>
        <w:ind w:firstLine="420"/>
      </w:pPr>
      <w:r>
        <w:t>"Cash transactions: Unbanked individuals rely on cash, which can create vulnerabilities for MSBs, such as difficulty in tracking a high volume of transactions and ascertaining the source of these funds."</w:t>
      </w:r>
    </w:p>
    <w:p>
      <w:pPr>
        <w:spacing w:before="120" w:after="40"/>
      </w:pPr>
      <w:r>
        <w:rPr>
          <w:b/>
          <w:sz w:val="21"/>
          <w:shd w:fill="D6E4F0" w:val="clear"/>
        </w:rPr>
        <w:t>A项错误</w:t>
      </w:r>
    </w:p>
    <w:p>
      <w:pPr>
        <w:spacing w:line="360" w:lineRule="auto" w:after="40"/>
        <w:ind w:firstLine="420"/>
      </w:pPr>
      <w:r>
        <w:t>教材P95在界定MSB客户的高风险特征时，列出的风险清单聚焦于无银行账户客户的交易行为本身（缺乏财务记录、现金交易、跨境汇款），而非客户与下游客户的关系层级。“处理客户的客户的活动”在教材关于MSB的讨论中并未被列为金融犯罪风险来源；相比之下，题干条件更直接匹配P95明确列出的交易层面风险指标。</w:t>
      </w:r>
    </w:p>
    <w:p>
      <w:pPr>
        <w:spacing w:before="120" w:after="40"/>
      </w:pPr>
      <w:r>
        <w:rPr>
          <w:b/>
          <w:sz w:val="21"/>
          <w:shd w:fill="D6E4F0" w:val="clear"/>
        </w:rPr>
        <w:t>C项错误</w:t>
      </w:r>
    </w:p>
    <w:p>
      <w:pPr>
        <w:spacing w:line="360" w:lineRule="auto" w:after="40"/>
        <w:ind w:firstLine="420"/>
      </w:pPr>
      <w:r>
        <w:t>教材P95关于MSB金融犯罪风险的讨论未将“要求注册”列为风险指标。无论该选项理解为客户要求MSB注册，还是客户本身需要注册，教材在MSB语境下均未把注册要求与洗钱或恐怖融资风险挂钩。B和D直接出现在P95的MSB风险清单中，匹配度明显更高。</w:t>
      </w:r>
    </w:p>
    <w:p>
      <w:pPr>
        <w:spacing w:before="120" w:after="40"/>
      </w:pPr>
      <w:r>
        <w:rPr>
          <w:b/>
          <w:sz w:val="21"/>
          <w:shd w:fill="D6E4F0" w:val="clear"/>
        </w:rPr>
        <w:t>易错提醒</w:t>
      </w:r>
    </w:p>
    <w:p>
      <w:pPr>
        <w:spacing w:line="360" w:lineRule="auto" w:after="40"/>
        <w:ind w:firstLine="420"/>
      </w:pPr>
      <w:r>
        <w:t>选项B“大量低价值交易”在本题中对应的是P95所述无银行账户客户依赖现金导致的交易追踪困难——这是MSB的固有风险特征，关键词是“大量”和“追踪困难”。不要混淆为“结构化交易（structuring）”，后者在教材中指故意将交易拆分为多笔略低于报告限额的小额交易以规避监控，题干未提及规避报告门槛的意图，两者风险分类不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