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An insurance company receives an application for a high-value life insurance policy from a new non-resident client. The payout instruction is linked to an offshore trust in another jurisdiction to which the client has no obvious connection. The client insists on paying premiums via multiple transactions to "avoid bank charges." The client is reportedly unemployed with minimal assets, which is inconsistent with the policy value. Which financial crime risk should the insurance company be most concerned with? ( )</w:t>
      </w:r>
    </w:p>
    <w:p>
      <w:pPr>
        <w:spacing w:line="360" w:lineRule="auto" w:after="20"/>
        <w:ind w:firstLine="283"/>
      </w:pPr>
      <w:r>
        <w:t>A. Sanctions evasion</w:t>
      </w:r>
    </w:p>
    <w:p>
      <w:pPr>
        <w:spacing w:line="360" w:lineRule="auto" w:after="20"/>
        <w:ind w:firstLine="283"/>
      </w:pPr>
      <w:r>
        <w:t>B. Money laundering</w:t>
      </w:r>
    </w:p>
    <w:p>
      <w:pPr>
        <w:spacing w:line="360" w:lineRule="auto" w:after="20"/>
        <w:ind w:firstLine="283"/>
      </w:pPr>
      <w:r>
        <w:t>C. Fraud</w:t>
      </w:r>
    </w:p>
    <w:p>
      <w:pPr>
        <w:spacing w:line="360" w:lineRule="auto" w:after="20"/>
        <w:ind w:firstLine="283"/>
      </w:pPr>
      <w:r>
        <w:t>D. Market abuse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识别高额人寿保险场景下的洗钱红旗信号</w:t>
      </w:r>
    </w:p>
    <w:p>
      <w:pPr>
        <w:spacing w:before="120" w:after="40"/>
      </w:pPr>
      <w:r>
        <w:rPr>
          <w:b/>
          <w:sz w:val="21"/>
          <w:shd w:fill="D6E4F0" w:val="clear"/>
        </w:rPr>
        <w:t>核心解析</w:t>
      </w:r>
    </w:p>
    <w:p>
      <w:pPr>
        <w:spacing w:line="360" w:lineRule="auto" w:after="40"/>
        <w:ind w:firstLine="420"/>
      </w:pPr>
      <w:r>
        <w:t>高额人寿保险属于高风险产品，可被滥用以掩盖资金来源</w:t>
      </w:r>
      <w:r>
        <w:rPr>
          <w:sz w:val="15"/>
          <w:vertAlign w:val="superscript"/>
        </w:rPr>
        <w:t>P101</w:t>
      </w:r>
      <w:r>
        <w:t>。犯罪分子会通过大额不规则缴费、提前退保或无关第三方代缴保费来利用保险产品洗钱</w:t>
      </w:r>
      <w:r>
        <w:rPr>
          <w:sz w:val="15"/>
          <w:vertAlign w:val="superscript"/>
        </w:rPr>
        <w:t>P101</w:t>
      </w:r>
      <w:r>
        <w:t>。红旗信号包括冷静期后退保、第三方超额缴费、保单生效后立即理赔和早期现金退保</w:t>
      </w:r>
      <w:r>
        <w:rPr>
          <w:sz w:val="15"/>
          <w:vertAlign w:val="superscript"/>
        </w:rPr>
        <w:t>P101</w:t>
      </w:r>
      <w:r>
        <w:t>。题干中，客户失业且资产极少，却申请高额人寿保单，保费支付方式为多次交易（规避银行手续费），赔付指示通过客户无明显关联的离岸信托，这些特征与洗钱的红旗信号高度吻合：财务能力与保单价值矛盾，暗示资金来源可疑；多次交易缴费类似不规则支付；离岸信托被用于隐藏受益人身份，为非法资金创造合法外表。因此，保险公司最应关注洗钱风险。</w:t>
      </w:r>
    </w:p>
    <w:p>
      <w:pPr>
        <w:spacing w:before="120" w:after="40"/>
      </w:pPr>
      <w:r>
        <w:rPr>
          <w:b/>
          <w:sz w:val="21"/>
          <w:shd w:fill="D6E4F0" w:val="clear"/>
        </w:rPr>
        <w:t>教材原句</w:t>
      </w:r>
    </w:p>
    <w:p>
      <w:pPr>
        <w:spacing w:line="360" w:lineRule="auto" w:after="40"/>
        <w:ind w:firstLine="420"/>
      </w:pPr>
      <w:r>
        <w:t>"Certain products can be high-risk, such as high-value life insurance and investment-linked policies, and can present AML concerns."</w:t>
      </w:r>
    </w:p>
    <w:p>
      <w:pPr>
        <w:spacing w:before="120" w:after="40"/>
      </w:pPr>
      <w:r>
        <w:rPr>
          <w:b/>
          <w:sz w:val="21"/>
          <w:shd w:fill="D6E4F0" w:val="clear"/>
        </w:rPr>
        <w:t>A项错误</w:t>
      </w:r>
    </w:p>
    <w:p>
      <w:pPr>
        <w:spacing w:line="360" w:lineRule="auto" w:after="40"/>
        <w:ind w:firstLine="420"/>
      </w:pPr>
      <w:r>
        <w:t>违反制裁指规避对特定个人或实体的金融限制</w:t>
      </w:r>
      <w:r>
        <w:rPr>
          <w:sz w:val="15"/>
          <w:vertAlign w:val="superscript"/>
        </w:rPr>
        <w:t>P23</w:t>
      </w:r>
      <w:r>
        <w:t>，题干中未出现被制裁对象、禁止交易或高风险司法管辖区等制裁要素，仅凭离岸信托和多次支付保费不足以直接指向制裁规避，相比之下洗钱风险更直接匹配题干条件。</w:t>
      </w:r>
    </w:p>
    <w:p>
      <w:pPr>
        <w:spacing w:before="120" w:after="40"/>
      </w:pPr>
      <w:r>
        <w:rPr>
          <w:b/>
          <w:sz w:val="21"/>
          <w:shd w:fill="D6E4F0" w:val="clear"/>
        </w:rPr>
        <w:t>C项错误</w:t>
      </w:r>
    </w:p>
    <w:p>
      <w:pPr>
        <w:spacing w:line="360" w:lineRule="auto" w:after="40"/>
        <w:ind w:firstLine="420"/>
      </w:pPr>
      <w:r>
        <w:t>欺诈是故意欺骗以获取不正当利益</w:t>
      </w:r>
      <w:r>
        <w:rPr>
          <w:sz w:val="15"/>
          <w:vertAlign w:val="superscript"/>
        </w:rPr>
        <w:t>P29</w:t>
      </w:r>
      <w:r>
        <w:t>，客户谎称失业或隐瞒资产可能涉及欺诈，但此处更关键的是将可疑资金通过保单转化为合法资产，离岸信托和多次缴费更吻合洗钱中掩盖资金来源的行为，故洗钱比欺诈更契合保险机构反洗钱的核心关注点。</w:t>
      </w:r>
    </w:p>
    <w:p>
      <w:pPr>
        <w:spacing w:before="120" w:after="40"/>
      </w:pPr>
      <w:r>
        <w:rPr>
          <w:b/>
          <w:sz w:val="21"/>
          <w:shd w:fill="D6E4F0" w:val="clear"/>
        </w:rPr>
        <w:t>D项错误</w:t>
      </w:r>
    </w:p>
    <w:p>
      <w:pPr>
        <w:spacing w:line="360" w:lineRule="auto" w:after="40"/>
        <w:ind w:firstLine="420"/>
      </w:pPr>
      <w:r>
        <w:t>市场滥用指内幕交易或市场操纵</w:t>
      </w:r>
      <w:r>
        <w:rPr>
          <w:sz w:val="15"/>
          <w:vertAlign w:val="superscript"/>
        </w:rPr>
        <w:t>P193</w:t>
      </w:r>
      <w:r>
        <w:t>，通常发生在证券或交易市场，题干中无任何证券交易、市场订单或金融工具操纵的要素，保险场景下不存在该风险，因此洗钱是比市场滥用更相关的金融犯罪类型。</w:t>
      </w:r>
    </w:p>
    <w:p>
      <w:pPr>
        <w:spacing w:before="120" w:after="40"/>
      </w:pPr>
      <w:r>
        <w:rPr>
          <w:b/>
          <w:sz w:val="21"/>
          <w:shd w:fill="D6E4F0" w:val="clear"/>
        </w:rPr>
        <w:t>易错提醒</w:t>
      </w:r>
    </w:p>
    <w:p>
      <w:pPr>
        <w:spacing w:line="360" w:lineRule="auto" w:after="40"/>
        <w:ind w:firstLine="420"/>
      </w:pPr>
      <w:r>
        <w:t>欺诈（Fraud）是故意欺骗以获得非法利益</w:t>
      </w:r>
      <w:r>
        <w:rPr>
          <w:sz w:val="15"/>
          <w:vertAlign w:val="superscript"/>
        </w:rPr>
        <w:t>P29</w:t>
      </w:r>
      <w:r>
        <w:t>，常作为洗钱的上游犯罪；但题干中客户通过离岸信托和多次缴费隐藏资金流向，重点在于掩盖非法资金来源，这正是洗钱的典型特征，保险机构在反洗钱框架下应优先识别洗钱风险而非欺诈本身。</w:t>
      </w:r>
    </w:p>
    <w:p>
      <w:pPr>
        <w:spacing w:line="360" w:lineRule="auto" w:after="120"/>
      </w:pPr>
      <w:r/>
    </w:p>
    <w:p>
      <w:pPr>
        <w:spacing w:line="360" w:lineRule="auto" w:after="40"/>
      </w:pPr>
      <w:r>
        <w:t>2. Which insurance product is considered the lowest risk for money laundering? ( )</w:t>
      </w:r>
    </w:p>
    <w:p>
      <w:pPr>
        <w:spacing w:line="360" w:lineRule="auto" w:after="20"/>
        <w:ind w:firstLine="283"/>
      </w:pPr>
      <w:r>
        <w:t>A. Annuity contracts</w:t>
      </w:r>
    </w:p>
    <w:p>
      <w:pPr>
        <w:spacing w:line="360" w:lineRule="auto" w:after="20"/>
        <w:ind w:firstLine="283"/>
      </w:pPr>
      <w:r>
        <w:t>B. Permanent life insurance policies</w:t>
      </w:r>
    </w:p>
    <w:p>
      <w:pPr>
        <w:spacing w:line="360" w:lineRule="auto" w:after="20"/>
        <w:ind w:firstLine="283"/>
      </w:pPr>
      <w:r>
        <w:t>C. Group insurance products</w:t>
      </w:r>
    </w:p>
    <w:p>
      <w:pPr>
        <w:spacing w:line="360" w:lineRule="auto" w:after="20"/>
        <w:ind w:firstLine="283"/>
      </w:pPr>
      <w:r>
        <w:t>D. Cash-secured products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根据产品现金价值与投保人控制度判断保险洗钱风险高低</w:t>
      </w:r>
    </w:p>
    <w:p>
      <w:pPr>
        <w:spacing w:before="120" w:after="40"/>
      </w:pPr>
      <w:r>
        <w:rPr>
          <w:b/>
          <w:sz w:val="21"/>
          <w:shd w:fill="D6E4F0" w:val="clear"/>
        </w:rPr>
        <w:t>核心解析</w:t>
      </w:r>
    </w:p>
    <w:p>
      <w:pPr>
        <w:spacing w:line="360" w:lineRule="auto" w:after="40"/>
        <w:ind w:firstLine="420"/>
      </w:pPr>
      <w:r>
        <w:t>教材指出，具有高现金价值或灵活缴费选项的保险产品可被用于掩盖资金来源，洗钱风险较高</w:t>
      </w:r>
      <w:r>
        <w:rPr>
          <w:sz w:val="15"/>
          <w:vertAlign w:val="superscript"/>
        </w:rPr>
        <w:t>P101</w:t>
      </w:r>
      <w:r>
        <w:t>。年金合同（Annuity contracts）和永久人寿保险单（Permanent life insurance policies）均属于此类，因为它们通常累积可观的现金价值，并允许投保人进行灵活缴费、提前退保等操作。相比之下，团体保险产品（Group insurance products）通常由雇主为雇员统一购买，个人不直接控制保单条款，也无法自由退保获取现金价值，其结构使得犯罪分子难以将其用作个人洗钱工具。由此可推知，在四个选项中，团体保险产品的洗钱风险最低。</w:t>
      </w:r>
    </w:p>
    <w:p>
      <w:pPr>
        <w:spacing w:before="120" w:after="40"/>
      </w:pPr>
      <w:r>
        <w:rPr>
          <w:b/>
          <w:sz w:val="21"/>
          <w:shd w:fill="D6E4F0" w:val="clear"/>
        </w:rPr>
        <w:t>A项错误</w:t>
      </w:r>
    </w:p>
    <w:p>
      <w:pPr>
        <w:spacing w:line="360" w:lineRule="auto" w:after="40"/>
        <w:ind w:firstLine="420"/>
      </w:pPr>
      <w:r>
        <w:t>年金合同旨在为持有人累积现金价值并在未来提供现金流，更吻合教材中“高现金价值”这一高风险特征</w:t>
      </w:r>
      <w:r>
        <w:rPr>
          <w:sz w:val="15"/>
          <w:vertAlign w:val="superscript"/>
        </w:rPr>
        <w:t>P101</w:t>
      </w:r>
      <w:r>
        <w:t>。相比之下，团体保险产品的个人控制度极低，风险匹配度不如正确选项。</w:t>
      </w:r>
    </w:p>
    <w:p>
      <w:pPr>
        <w:spacing w:before="120" w:after="40"/>
      </w:pPr>
      <w:r>
        <w:rPr>
          <w:b/>
          <w:sz w:val="21"/>
          <w:shd w:fill="D6E4F0" w:val="clear"/>
        </w:rPr>
        <w:t>B项错误</w:t>
      </w:r>
    </w:p>
    <w:p>
      <w:pPr>
        <w:spacing w:line="360" w:lineRule="auto" w:after="40"/>
        <w:ind w:firstLine="420"/>
      </w:pPr>
      <w:r>
        <w:t>永久人寿保险单具有长期储蓄和投资功能，内含较高现金价值，符合教材对高风险保险产品的描述</w:t>
      </w:r>
      <w:r>
        <w:rPr>
          <w:sz w:val="15"/>
          <w:vertAlign w:val="superscript"/>
        </w:rPr>
        <w:t>P101</w:t>
      </w:r>
      <w:r>
        <w:t>。题干要求的是风险最低的产品，团体保险产品因缺少个人兑付现金价值的灵活性，与此要求更直接匹配。</w:t>
      </w:r>
    </w:p>
    <w:p>
      <w:pPr>
        <w:spacing w:before="120" w:after="40"/>
      </w:pPr>
      <w:r>
        <w:rPr>
          <w:b/>
          <w:sz w:val="21"/>
          <w:shd w:fill="D6E4F0" w:val="clear"/>
        </w:rPr>
        <w:t>D项错误</w:t>
      </w:r>
    </w:p>
    <w:p>
      <w:pPr>
        <w:spacing w:line="360" w:lineRule="auto" w:after="40"/>
        <w:ind w:firstLine="420"/>
      </w:pPr>
      <w:r>
        <w:t>题干未提供现金担保产品的教材定义，从名称判断其与“现金”操作直接相关，这本身就引入了更高的洗钱风险不确定性。而团体保险产品的结构决定了洗钱者难以将其资产化或变现，更符合“风险最低”的要求。</w:t>
      </w:r>
    </w:p>
    <w:p>
      <w:pPr>
        <w:spacing w:before="120" w:after="40"/>
      </w:pPr>
      <w:r>
        <w:rPr>
          <w:b/>
          <w:sz w:val="21"/>
          <w:shd w:fill="D6E4F0" w:val="clear"/>
        </w:rPr>
        <w:t>易错提醒</w:t>
      </w:r>
    </w:p>
    <w:p>
      <w:pPr>
        <w:spacing w:line="360" w:lineRule="auto" w:after="40"/>
        <w:ind w:firstLine="420"/>
      </w:pPr>
      <w:r>
        <w:t>区分保险产品洗钱风险高低，核心是看投保人能否控制并兑现产品的现金价值。年金合同和永久人寿保险都允许个人累积并支取现金价值，属于教材认定的高风险类型；团体保险由机构统一持有，个人无法支取，风险因此最低。</w:t>
      </w:r>
    </w:p>
    <w:p>
      <w:pPr>
        <w:spacing w:line="360" w:lineRule="auto" w:after="120"/>
      </w:pPr>
      <w:r/>
    </w:p>
    <w:p>
      <w:pPr>
        <w:spacing w:line="360" w:lineRule="auto" w:after="40"/>
      </w:pPr>
      <w:r>
        <w:t>3. Which of the following are AML risks associated with onboarding a high-risk customer? (Select Two.) ( )</w:t>
      </w:r>
    </w:p>
    <w:p>
      <w:pPr>
        <w:spacing w:line="360" w:lineRule="auto" w:after="20"/>
        <w:ind w:firstLine="283"/>
      </w:pPr>
      <w:r>
        <w:t>A. Enhanced customer due diligence requirements.</w:t>
      </w:r>
    </w:p>
    <w:p>
      <w:pPr>
        <w:spacing w:line="360" w:lineRule="auto" w:after="20"/>
        <w:ind w:firstLine="283"/>
      </w:pPr>
      <w:r>
        <w:t>B. Greater potential for laundering illicit proceeds.</w:t>
      </w:r>
    </w:p>
    <w:p>
      <w:pPr>
        <w:spacing w:line="360" w:lineRule="auto" w:after="20"/>
        <w:ind w:firstLine="283"/>
      </w:pPr>
      <w:r>
        <w:t>C. Reduced regulatory scrutiny compared to low-risk customers.</w:t>
      </w:r>
    </w:p>
    <w:p>
      <w:pPr>
        <w:spacing w:line="360" w:lineRule="auto" w:after="20"/>
        <w:ind w:firstLine="283"/>
      </w:pPr>
      <w:r>
        <w:t>D. Increased likelihood of engaging in financial crimes.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区分风险本身（潜能/可能性）与风险控制措施（EDD）</w:t>
      </w:r>
    </w:p>
    <w:p>
      <w:pPr>
        <w:spacing w:before="120" w:after="40"/>
      </w:pPr>
      <w:r>
        <w:rPr>
          <w:b/>
          <w:sz w:val="21"/>
          <w:shd w:fill="D6E4F0" w:val="clear"/>
        </w:rPr>
        <w:t>核心解析</w:t>
      </w:r>
    </w:p>
    <w:p>
      <w:pPr>
        <w:spacing w:line="360" w:lineRule="auto" w:after="40"/>
        <w:ind w:firstLine="420"/>
      </w:pPr>
      <w:r>
        <w:t>洗钱风险指客户利用金融机构将非法所得转入金融系统或从事金融犯罪的可能性。教材在分析证券业风险时指出，政治敏感人物等高风险客户更容易涉及腐败，中介机构可能代客户实施非法交易</w:t>
      </w:r>
      <w:r>
        <w:rPr>
          <w:sz w:val="15"/>
          <w:vertAlign w:val="superscript"/>
        </w:rPr>
        <w:t>P104</w:t>
      </w:r>
      <w:r>
        <w:t>，这直接说明高风险客户具有“洗钱非法所得的更大潜力”。同时，教材在列举客户被归类为高风险的依据时，明确将“行业风险”（如现金密集型行业）和“负面媒体”（与金融犯罪调查相关）作为判断标准</w:t>
      </w:r>
      <w:r>
        <w:rPr>
          <w:sz w:val="15"/>
          <w:vertAlign w:val="superscript"/>
        </w:rPr>
        <w:t>P312</w:t>
      </w:r>
      <w:r>
        <w:t>。这意味着，一个客户之所以被认定为高风险，本身就基于其“更有可能从事金融犯罪活动”这一特征。换言之，选项B和选项D描述的是高风险客户内在的风险属性，是金融机构需要识别和评估的风险本身。而选项A描述的“加强的客户尽职调查”，是机构在识别出这种高风险后采取的应对措施</w:t>
      </w:r>
      <w:r>
        <w:rPr>
          <w:sz w:val="15"/>
          <w:vertAlign w:val="superscript"/>
        </w:rPr>
        <w:t>P270</w:t>
      </w:r>
      <w:r>
        <w:t>，属于风险控制手段，而非风险本身。</w:t>
      </w:r>
    </w:p>
    <w:p>
      <w:pPr>
        <w:spacing w:before="120" w:after="40"/>
      </w:pPr>
      <w:r>
        <w:rPr>
          <w:b/>
          <w:sz w:val="21"/>
          <w:shd w:fill="D6E4F0" w:val="clear"/>
        </w:rPr>
        <w:t>教材原句</w:t>
      </w:r>
    </w:p>
    <w:p>
      <w:pPr>
        <w:spacing w:line="360" w:lineRule="auto" w:after="40"/>
        <w:ind w:firstLine="420"/>
      </w:pPr>
      <w:r>
        <w:t>"High-risk customers, such as PEPs, and intermediaries require careful risk assessment. PEPs might be susceptible to corruption, while intermediaries might facilitate illicit transactions on behalf of customers."</w:t>
      </w:r>
    </w:p>
    <w:p>
      <w:pPr>
        <w:spacing w:before="120" w:after="40"/>
      </w:pPr>
      <w:r>
        <w:rPr>
          <w:b/>
          <w:sz w:val="21"/>
          <w:shd w:fill="D6E4F0" w:val="clear"/>
        </w:rPr>
        <w:t>A项错误</w:t>
      </w:r>
    </w:p>
    <w:p>
      <w:pPr>
        <w:spacing w:line="360" w:lineRule="auto" w:after="40"/>
        <w:ind w:firstLine="420"/>
      </w:pPr>
      <w:r>
        <w:t>选项A“加强的客户尽职调查要求”在教材中是对高风险客户的应对措施，而非风险本身。教材指出高风险客户可能需接受强化尽职调查</w:t>
      </w:r>
      <w:r>
        <w:rPr>
          <w:sz w:val="15"/>
          <w:vertAlign w:val="superscript"/>
        </w:rPr>
        <w:t>P270</w:t>
      </w:r>
      <w:r>
        <w:t>，即EDD是因应风险而产生的义务，而非“接纳高风险客户”带来的内在洗钱风险。题干问的是接纳高风险客户关联的洗钱风险，将应对措施误判为风险属于概念混淆。</w:t>
      </w:r>
    </w:p>
    <w:p>
      <w:pPr>
        <w:spacing w:before="120" w:after="40"/>
      </w:pPr>
      <w:r>
        <w:rPr>
          <w:b/>
          <w:sz w:val="21"/>
          <w:shd w:fill="D6E4F0" w:val="clear"/>
        </w:rPr>
        <w:t>C项错误</w:t>
      </w:r>
    </w:p>
    <w:p>
      <w:pPr>
        <w:spacing w:line="360" w:lineRule="auto" w:after="40"/>
        <w:ind w:firstLine="420"/>
      </w:pPr>
      <w:r>
        <w:t>选项C“与低风险客户相比，监管审查力度降低”与教材逻辑相悖。教材强调高风险客户需接受强化尽职调查和加强监控</w:t>
      </w:r>
      <w:r>
        <w:rPr>
          <w:sz w:val="15"/>
          <w:vertAlign w:val="superscript"/>
        </w:rPr>
        <w:t>P270</w:t>
      </w:r>
      <w:r>
        <w:t>，对高风险客户会“应用持续监控和更深入的交易审查”</w:t>
      </w:r>
      <w:r>
        <w:rPr>
          <w:sz w:val="15"/>
          <w:vertAlign w:val="superscript"/>
        </w:rPr>
        <w:t>P303</w:t>
      </w:r>
      <w:r>
        <w:t>，甚至可能在EDD完成前施加临时限制</w:t>
      </w:r>
      <w:r>
        <w:rPr>
          <w:sz w:val="15"/>
          <w:vertAlign w:val="superscript"/>
        </w:rPr>
        <w:t>P312</w:t>
      </w:r>
      <w:r>
        <w:t>。相比之下，教材提到的是对低风险客户可采用简化CDD</w:t>
      </w:r>
      <w:r>
        <w:rPr>
          <w:sz w:val="15"/>
          <w:vertAlign w:val="superscript"/>
        </w:rPr>
        <w:t>P200</w:t>
      </w:r>
      <w:r>
        <w:t>。题干所述的高风险客户面临的监管审查力度会更高，而非降低。</w:t>
      </w:r>
    </w:p>
    <w:p>
      <w:pPr>
        <w:spacing w:before="120" w:after="40"/>
      </w:pPr>
      <w:r>
        <w:rPr>
          <w:b/>
          <w:sz w:val="21"/>
          <w:shd w:fill="D6E4F0" w:val="clear"/>
        </w:rPr>
        <w:t>易错提醒</w:t>
      </w:r>
    </w:p>
    <w:p>
      <w:pPr>
        <w:spacing w:line="360" w:lineRule="auto" w:after="40"/>
        <w:ind w:firstLine="420"/>
      </w:pPr>
      <w:r>
        <w:t>判断一个选项是否属于“风险本身”，可看它描述的是客户内在的威胁属性（如犯罪可能性、洗钱潜能），还是机构施加的控制行为（如EDD、监控）。前者是风险，后者是风险应对措施。</w:t>
      </w:r>
    </w:p>
    <w:p>
      <w:pPr>
        <w:spacing w:line="360" w:lineRule="auto" w:after="120"/>
      </w:pPr>
      <w:r/>
    </w:p>
    <w:p>
      <w:pPr>
        <w:spacing w:line="360" w:lineRule="auto" w:after="40"/>
      </w:pPr>
      <w:r>
        <w:t>4. Which of the following are common indicators of possible money laundering within the securities industry? (Select two.) ( )</w:t>
      </w:r>
    </w:p>
    <w:p>
      <w:pPr>
        <w:spacing w:line="360" w:lineRule="auto" w:after="20"/>
        <w:ind w:firstLine="283"/>
      </w:pPr>
      <w:r>
        <w:t>A. Receiving securities into an existing brokerage account following the death of a spouse.</w:t>
      </w:r>
    </w:p>
    <w:p>
      <w:pPr>
        <w:spacing w:line="360" w:lineRule="auto" w:after="20"/>
        <w:ind w:firstLine="283"/>
      </w:pPr>
      <w:r>
        <w:t>B. Allowing fixed-income securities to mature.</w:t>
      </w:r>
    </w:p>
    <w:p>
      <w:pPr>
        <w:spacing w:line="360" w:lineRule="auto" w:after="20"/>
        <w:ind w:firstLine="283"/>
      </w:pPr>
      <w:r>
        <w:t>C. Using brokerage accounts like deposit accounts.</w:t>
      </w:r>
    </w:p>
    <w:p>
      <w:pPr>
        <w:spacing w:line="360" w:lineRule="auto" w:after="20"/>
        <w:ind w:firstLine="283"/>
      </w:pPr>
      <w:r>
        <w:t>D. Engaging in transactions involving nominees or third parties.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识别证券业异常账户使用及第三方参与的洗钱常见迹象</w:t>
      </w:r>
    </w:p>
    <w:p>
      <w:pPr>
        <w:spacing w:before="120" w:after="40"/>
      </w:pPr>
      <w:r>
        <w:rPr>
          <w:b/>
          <w:sz w:val="21"/>
          <w:shd w:fill="D6E4F0" w:val="clear"/>
        </w:rPr>
        <w:t>核心解析</w:t>
      </w:r>
    </w:p>
    <w:p>
      <w:pPr>
        <w:spacing w:line="360" w:lineRule="auto" w:after="40"/>
        <w:ind w:firstLine="420"/>
      </w:pPr>
      <w:r>
        <w:t>证券行业在洗钱的离析阶段和融合阶段尤其脆弱</w:t>
      </w:r>
      <w:r>
        <w:rPr>
          <w:sz w:val="15"/>
          <w:vertAlign w:val="superscript"/>
        </w:rPr>
        <w:t>P104</w:t>
      </w:r>
      <w:r>
        <w:t>。行业具备高互动性、大交易量、快速执行和一定匿名性等特征，为犯罪分子洗钱创造了机会</w:t>
      </w:r>
      <w:r>
        <w:rPr>
          <w:sz w:val="15"/>
          <w:vertAlign w:val="superscript"/>
        </w:rPr>
        <w:t>P104</w:t>
      </w:r>
      <w:r>
        <w:t>。洗钱者可能将经纪账户当作存款账户使用，即将本应服务于投资的账户用于频繁的资金收付、存放或转移，背离了正常投资目的，这属于利用行业特性模糊资金轨迹的异常行为。同时，在证券交易中引入代名人或第三方（如壳公司、名义账户）会增加层层复杂性，使资金来源更难追踪</w:t>
      </w:r>
      <w:r>
        <w:rPr>
          <w:sz w:val="15"/>
          <w:vertAlign w:val="superscript"/>
        </w:rPr>
        <w:t>P66</w:t>
      </w:r>
      <w:r>
        <w:t>，且托管服务本身固有洗钱风险，尤其涉及名义账户时容易隐藏真实所有权</w:t>
      </w:r>
      <w:r>
        <w:rPr>
          <w:sz w:val="15"/>
          <w:vertAlign w:val="superscript"/>
        </w:rPr>
        <w:t>P106</w:t>
      </w:r>
      <w:r>
        <w:t>。题干询问证券行业可能的洗钱行为常见迹象，选项C和D分别对应了上述两类反常行为，因此为正确选项。</w:t>
      </w:r>
    </w:p>
    <w:p>
      <w:pPr>
        <w:spacing w:before="120" w:after="40"/>
      </w:pPr>
      <w:r>
        <w:rPr>
          <w:b/>
          <w:sz w:val="21"/>
          <w:shd w:fill="D6E4F0" w:val="clear"/>
        </w:rPr>
        <w:t>A项错误</w:t>
      </w:r>
    </w:p>
    <w:p>
      <w:pPr>
        <w:spacing w:line="360" w:lineRule="auto" w:after="40"/>
        <w:ind w:firstLine="420"/>
      </w:pPr>
      <w:r>
        <w:t>配偶去世后接收证券属于正常的遗产继承或资产转移，本身不具隐蔽性或欺骗性，与教材所关注的异常交易模式（如账户用途偏离投资目的、引入第三方掩盖来源）相比，缺乏洗钱迹象特征。</w:t>
      </w:r>
    </w:p>
    <w:p>
      <w:pPr>
        <w:spacing w:before="120" w:after="40"/>
      </w:pPr>
      <w:r>
        <w:rPr>
          <w:b/>
          <w:sz w:val="21"/>
          <w:shd w:fill="D6E4F0" w:val="clear"/>
        </w:rPr>
        <w:t>B项错误</w:t>
      </w:r>
    </w:p>
    <w:p>
      <w:pPr>
        <w:spacing w:line="360" w:lineRule="auto" w:after="40"/>
        <w:ind w:firstLine="420"/>
      </w:pPr>
      <w:r>
        <w:t>允许固定收益证券到期持有至到期是常规投资行为，不涉及主动的资金转移或结构复杂化，无法反映洗钱者利用证券业特性掩饰非法资金的意图，因此不是洗钱常见的警示信号。</w:t>
      </w:r>
    </w:p>
    <w:p>
      <w:pPr>
        <w:spacing w:before="120" w:after="40"/>
      </w:pPr>
      <w:r>
        <w:rPr>
          <w:b/>
          <w:sz w:val="21"/>
          <w:shd w:fill="D6E4F0" w:val="clear"/>
        </w:rPr>
        <w:t>易错提醒</w:t>
      </w:r>
    </w:p>
    <w:p>
      <w:pPr>
        <w:spacing w:line="360" w:lineRule="auto" w:after="40"/>
        <w:ind w:firstLine="420"/>
      </w:pPr>
      <w:r>
        <w:t>区分正常证券活动与洗钱迹象的关键在于是否偏离投资目的或引入不透明结构。证券继承、到期持有属于常规操作，不是洗钱迹象；而将经纪账户当存款账户使用、通过代名人或第三方进行交易，会模糊资金流向和所有权，是教材中明确的洗钱风险指标</w:t>
      </w:r>
      <w:r>
        <w:rPr>
          <w:sz w:val="15"/>
          <w:vertAlign w:val="superscript"/>
        </w:rPr>
        <w:t>P104、P106、P66</w:t>
      </w:r>
      <w:r>
        <w:t>。</w:t>
      </w:r>
    </w:p>
    <w:p>
      <w:pPr>
        <w:spacing w:line="360" w:lineRule="auto" w:after="120"/>
      </w:pPr>
      <w:r/>
    </w:p>
    <w:p>
      <w:pPr>
        <w:spacing w:line="360" w:lineRule="auto" w:after="40"/>
      </w:pPr>
      <w:r>
        <w:t>5. Which of the below would be relevant money laundering red flags for life insurance companies? (Select Two.) ( )</w:t>
      </w:r>
    </w:p>
    <w:p>
      <w:pPr>
        <w:spacing w:line="360" w:lineRule="auto" w:after="20"/>
        <w:ind w:firstLine="283"/>
      </w:pPr>
      <w:r>
        <w:t>A. Paying premiums several years in advance and terminating early for a refund.</w:t>
      </w:r>
    </w:p>
    <w:p>
      <w:pPr>
        <w:spacing w:line="360" w:lineRule="auto" w:after="20"/>
        <w:ind w:firstLine="283"/>
      </w:pPr>
      <w:r>
        <w:t>B. Natural persons having more than one insurance policy.</w:t>
      </w:r>
    </w:p>
    <w:p>
      <w:pPr>
        <w:spacing w:line="360" w:lineRule="auto" w:after="20"/>
        <w:ind w:firstLine="283"/>
      </w:pPr>
      <w:r>
        <w:t>C. High-premium life insurance policies that provide high payouts.</w:t>
      </w:r>
    </w:p>
    <w:p>
      <w:pPr>
        <w:spacing w:line="360" w:lineRule="auto" w:after="20"/>
        <w:ind w:firstLine="283"/>
      </w:pPr>
      <w:r>
        <w:t>D. Regularly switching policies and accepting penalties.</w:t>
      </w:r>
    </w:p>
    <w:p>
      <w:pPr>
        <w:spacing w:line="360" w:lineRule="auto" w:after="20"/>
        <w:ind w:firstLine="283"/>
      </w:pPr>
      <w:r>
        <w:t>E. Beneficiary payouts to elderly people.</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识别保险场景下提前退保、频繁换单等反常行为的洗钱警示信号</w:t>
      </w:r>
    </w:p>
    <w:p>
      <w:pPr>
        <w:spacing w:before="120" w:after="40"/>
      </w:pPr>
      <w:r>
        <w:rPr>
          <w:b/>
          <w:sz w:val="21"/>
          <w:shd w:fill="D6E4F0" w:val="clear"/>
        </w:rPr>
        <w:t>核心解析</w:t>
      </w:r>
    </w:p>
    <w:p>
      <w:pPr>
        <w:spacing w:line="360" w:lineRule="auto" w:after="40"/>
        <w:ind w:firstLine="420"/>
      </w:pPr>
      <w:r>
        <w:t>保险洗钱的红旗警示信号包括：冷静期后提前终止保单、第三方超额缴费、保单生效后立即理赔、以及提前现金退保</w:t>
      </w:r>
      <w:r>
        <w:rPr>
          <w:sz w:val="15"/>
          <w:vertAlign w:val="superscript"/>
        </w:rPr>
        <w:t>P101</w:t>
      </w:r>
      <w:r>
        <w:t>。这些行为的共同特征是投保人不以获取长期保障为目的，而是利用保单的缴费和退保机制将非法资金快速转化为看似合法的退保金。选项A“提前数年支付保费并提前终止以获取退款”直接命中“提前现金退保”这一信号——投保人一次性投入大额保费后迅速退出，不在乎退保费用损失，更吻合“将非法资金转化为合法资产”的洗钱逻辑</w:t>
      </w:r>
      <w:r>
        <w:rPr>
          <w:sz w:val="15"/>
          <w:vertAlign w:val="superscript"/>
        </w:rPr>
        <w:t>P101</w:t>
      </w:r>
      <w:r>
        <w:t>。选项D“经常更换政策并接受处罚”体现了反复主动触发退保或保单终止、再重新投保的行为模式，与此教材所述犯罪分子“过早兑现保单”的手法一致，反复切换保单并愿意承担罚款更可能是为了混淆资金轨迹而非追求保障效率。二者都指向利用保险合同作为资金清洗的通道，而非正常的保险需求。</w:t>
      </w:r>
    </w:p>
    <w:p>
      <w:pPr>
        <w:spacing w:before="120" w:after="40"/>
      </w:pPr>
      <w:r>
        <w:rPr>
          <w:b/>
          <w:sz w:val="21"/>
          <w:shd w:fill="D6E4F0" w:val="clear"/>
        </w:rPr>
        <w:t>教材原句</w:t>
      </w:r>
    </w:p>
    <w:p>
      <w:pPr>
        <w:spacing w:line="360" w:lineRule="auto" w:after="40"/>
        <w:ind w:firstLine="420"/>
      </w:pPr>
      <w:r>
        <w:t>"Red flags include early termination of policies after the cooling-off period, premium overpayments from third parties, claims filed shortly after the policy becomes effective, and early cash surrenders."</w:t>
      </w:r>
    </w:p>
    <w:p>
      <w:pPr>
        <w:spacing w:before="120" w:after="40"/>
      </w:pPr>
      <w:r>
        <w:rPr>
          <w:b/>
          <w:sz w:val="21"/>
          <w:shd w:fill="D6E4F0" w:val="clear"/>
        </w:rPr>
        <w:t>B项错误</w:t>
      </w:r>
    </w:p>
    <w:p>
      <w:pPr>
        <w:spacing w:line="360" w:lineRule="auto" w:after="40"/>
        <w:ind w:firstLine="420"/>
      </w:pPr>
      <w:r>
        <w:t>拥有一份以上保单是普通客户常见的财务规划行为，题干未涉及投保频率、保费资金来源、关联账户异常等洗钱结构要素。在缺乏这些动态交易细节的情况下，多保单本身作为警示信号的证据不足，不如正确项直接吻合教材列举的具体反常退保行为。</w:t>
      </w:r>
    </w:p>
    <w:p>
      <w:pPr>
        <w:spacing w:before="120" w:after="40"/>
      </w:pPr>
      <w:r>
        <w:rPr>
          <w:b/>
          <w:sz w:val="21"/>
          <w:shd w:fill="D6E4F0" w:val="clear"/>
        </w:rPr>
        <w:t>C项错误</w:t>
      </w:r>
    </w:p>
    <w:p>
      <w:pPr>
        <w:spacing w:line="360" w:lineRule="auto" w:after="40"/>
        <w:ind w:firstLine="420"/>
      </w:pPr>
      <w:r>
        <w:t>教材列举高额人寿保险属于高风险产品，会引发反洗钱关注</w:t>
      </w:r>
      <w:r>
        <w:rPr>
          <w:sz w:val="15"/>
          <w:vertAlign w:val="superscript"/>
        </w:rPr>
        <w:t>P101</w:t>
      </w:r>
      <w:r>
        <w:t>，但高风险产品本身不等同于具体的洗钱警示信号。题干问的是暗示洗钱行为正在发生的“红旗信号”，而非哪些产品类型需要留意。相较于选项A和D所描述的购保后迅速脱离保单的行为模式，仅凭购买一份高额理赔保单本身，缺少了资金进出反常、交易节奏异常等动态行为要素，因此匹配度不如正确项直接。</w:t>
      </w:r>
    </w:p>
    <w:p>
      <w:pPr>
        <w:spacing w:before="120" w:after="40"/>
      </w:pPr>
      <w:r>
        <w:rPr>
          <w:b/>
          <w:sz w:val="21"/>
          <w:shd w:fill="D6E4F0" w:val="clear"/>
        </w:rPr>
        <w:t>E项错误</w:t>
      </w:r>
    </w:p>
    <w:p>
      <w:pPr>
        <w:spacing w:line="360" w:lineRule="auto" w:after="40"/>
        <w:ind w:firstLine="420"/>
      </w:pPr>
      <w:r>
        <w:t>教材指出老年人受金融诈骗影响尤为严重</w:t>
      </w:r>
      <w:r>
        <w:rPr>
          <w:sz w:val="15"/>
          <w:vertAlign w:val="superscript"/>
        </w:rPr>
        <w:t>P42</w:t>
      </w:r>
      <w:r>
        <w:t>，但这是描述受害人群体的普遍脆弱性，而非利用保险产品进行洗钱的手法特征。题干问的是保险公司应识别的洗钱警示信号，向老年人支付受益人款项在没有其他异常要素（如与投保人无关联的第三方收款、短期内频繁变更受益人）时，更可能是正常的保单理赔或遗赠安排，与教材界定的退保行为类红旗信号关联度较低。</w:t>
      </w:r>
    </w:p>
    <w:p>
      <w:pPr>
        <w:spacing w:before="120" w:after="40"/>
      </w:pPr>
      <w:r>
        <w:rPr>
          <w:b/>
          <w:sz w:val="21"/>
          <w:shd w:fill="D6E4F0" w:val="clear"/>
        </w:rPr>
        <w:t>易错提醒</w:t>
      </w:r>
    </w:p>
    <w:p>
      <w:pPr>
        <w:spacing w:line="360" w:lineRule="auto" w:after="40"/>
        <w:ind w:firstLine="420"/>
      </w:pPr>
      <w:r>
        <w:t>高风险产品 vs 洗钱行为警示信号：教材列举高额人寿保险属于“高风险产品”</w:t>
      </w:r>
      <w:r>
        <w:rPr>
          <w:sz w:val="15"/>
          <w:vertAlign w:val="superscript"/>
        </w:rPr>
        <w:t>P101</w:t>
      </w:r>
      <w:r>
        <w:t>，这是产品风险评估维度——产品固有属性可能被滥用；而“早期现金退保”“提前终止保单”等才是具体的洗钱警示信号</w:t>
      </w:r>
      <w:r>
        <w:rPr>
          <w:sz w:val="15"/>
          <w:vertAlign w:val="superscript"/>
        </w:rPr>
        <w:t>P101</w:t>
      </w:r>
      <w:r>
        <w:t>——客户正在做的反常动作。判断标准是：问“红旗信号”时选行为，问“风险来源”时才选产品类型或客户属性。</w:t>
      </w:r>
    </w:p>
    <w:p>
      <w:pPr>
        <w:spacing w:line="360" w:lineRule="auto" w:after="120"/>
      </w:pPr>
      <w:r/>
    </w:p>
    <w:p>
      <w:pPr>
        <w:spacing w:line="360" w:lineRule="auto" w:after="40"/>
      </w:pPr>
      <w:r>
        <w:t>6. According to the Financial Action Task Force's (FATF's) Guidance for a Risk-Based Approach: Life Insurance Sector, which of the following are money laundering red flags relating to the involvement of a third party in a life insurance product? (Select Two.) ( )</w:t>
      </w:r>
    </w:p>
    <w:p>
      <w:pPr>
        <w:spacing w:line="360" w:lineRule="auto" w:after="20"/>
        <w:ind w:firstLine="283"/>
      </w:pPr>
      <w:r>
        <w:t>A. A customer engages an attorney to consult on the issuance of the policy</w:t>
      </w:r>
    </w:p>
    <w:p>
      <w:pPr>
        <w:spacing w:line="360" w:lineRule="auto" w:after="20"/>
        <w:ind w:firstLine="283"/>
      </w:pPr>
      <w:r>
        <w:t>B. A customer transfers the policy to another insurance company unaffiliated with the original policy issuer</w:t>
      </w:r>
    </w:p>
    <w:p>
      <w:pPr>
        <w:spacing w:line="360" w:lineRule="auto" w:after="20"/>
        <w:ind w:firstLine="283"/>
      </w:pPr>
      <w:r>
        <w:t>C. Payments are regularly received from third parties that have no apparent relationship with the policyholder</w:t>
      </w:r>
    </w:p>
    <w:p>
      <w:pPr>
        <w:spacing w:line="360" w:lineRule="auto" w:after="20"/>
        <w:ind w:firstLine="283"/>
      </w:pPr>
      <w:r>
        <w:t>D. A customer names an apparently unrelated third party as a beneficiary</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识别保险产品中第三方参与的洗钱警示信号</w:t>
      </w:r>
    </w:p>
    <w:p>
      <w:pPr>
        <w:spacing w:before="120" w:after="40"/>
      </w:pPr>
      <w:r>
        <w:rPr>
          <w:b/>
          <w:sz w:val="21"/>
          <w:shd w:fill="D6E4F0" w:val="clear"/>
        </w:rPr>
        <w:t>核心解析</w:t>
      </w:r>
    </w:p>
    <w:p>
      <w:pPr>
        <w:spacing w:line="360" w:lineRule="auto" w:after="40"/>
        <w:ind w:firstLine="420"/>
      </w:pPr>
      <w:r>
        <w:t>教材列出保险洗钱红旗信号包括第三方超额缴费</w:t>
      </w:r>
      <w:r>
        <w:rPr>
          <w:sz w:val="15"/>
          <w:vertAlign w:val="superscript"/>
        </w:rPr>
        <w:t>P101</w:t>
      </w:r>
      <w:r>
        <w:t>，犯罪分子也可能通过无关第三方代缴保费来利用保险产品</w:t>
      </w:r>
      <w:r>
        <w:rPr>
          <w:sz w:val="15"/>
          <w:vertAlign w:val="superscript"/>
        </w:rPr>
        <w:t>P101</w:t>
      </w:r>
      <w:r>
        <w:t>。本题中，选项C“经常收到与保单持有人无明显关系的第三方支付款项”直接对应第三方超额缴费或第三方代缴。选项D“指定显然不相关的第三方为受益人”使保险赔付流向无关方，类似于向无关第三方支付资金的风险指标</w:t>
      </w:r>
      <w:r>
        <w:rPr>
          <w:sz w:val="15"/>
          <w:vertAlign w:val="superscript"/>
        </w:rPr>
        <w:t>P38</w:t>
      </w:r>
      <w:r>
        <w:t>，属于第三方参与的警示信号。因此，C和D符合FATF人寿保险指南关于第三方参与的洗钱红旗信号。</w:t>
      </w:r>
    </w:p>
    <w:p>
      <w:pPr>
        <w:spacing w:before="120" w:after="40"/>
      </w:pPr>
      <w:r>
        <w:rPr>
          <w:b/>
          <w:sz w:val="21"/>
          <w:shd w:fill="D6E4F0" w:val="clear"/>
        </w:rPr>
        <w:t>教材原句</w:t>
      </w:r>
    </w:p>
    <w:p>
      <w:pPr>
        <w:spacing w:line="360" w:lineRule="auto" w:after="40"/>
        <w:ind w:firstLine="420"/>
      </w:pPr>
      <w:r>
        <w:t>"Red flags include early termination of policies after the cooling-off period, premium overpayments from third parties, claims filed shortly after the policy becomes effective, and early cash surrenders."</w:t>
      </w:r>
    </w:p>
    <w:p>
      <w:pPr>
        <w:spacing w:before="120" w:after="40"/>
      </w:pPr>
      <w:r>
        <w:rPr>
          <w:b/>
          <w:sz w:val="21"/>
          <w:shd w:fill="D6E4F0" w:val="clear"/>
        </w:rPr>
        <w:t>A项错误</w:t>
      </w:r>
    </w:p>
    <w:p>
      <w:pPr>
        <w:spacing w:line="360" w:lineRule="auto" w:after="40"/>
        <w:ind w:firstLine="420"/>
      </w:pPr>
      <w:r>
        <w:t>聘请律师咨询保单签发属于获取专业建议的正常行为，不涉及第三方支付或受益关系异常。相比之下，正确项C和D直接体现了无关第三方在资金流入或流出保险产品中的参与，更吻合教材对第三方洗钱风险的界定。</w:t>
      </w:r>
    </w:p>
    <w:p>
      <w:pPr>
        <w:spacing w:before="120" w:after="40"/>
      </w:pPr>
      <w:r>
        <w:rPr>
          <w:b/>
          <w:sz w:val="21"/>
          <w:shd w:fill="D6E4F0" w:val="clear"/>
        </w:rPr>
        <w:t>B项错误</w:t>
      </w:r>
    </w:p>
    <w:p>
      <w:pPr>
        <w:spacing w:line="360" w:lineRule="auto" w:after="40"/>
        <w:ind w:firstLine="420"/>
      </w:pPr>
      <w:r>
        <w:t>将保单转让给另一家保险公司是保单持有人的合法交易行为，教材未将其列为第三方参与的洗钱风险指标。正确项C和D均涉及“与保单持有人无明显关系”的第三方介入支付或受益，更直接匹配题干要求的第三方参与警示信号。</w:t>
      </w:r>
    </w:p>
    <w:p>
      <w:pPr>
        <w:spacing w:line="360" w:lineRule="auto" w:after="120"/>
      </w:pPr>
      <w:r/>
    </w:p>
    <w:p>
      <w:pPr>
        <w:spacing w:line="360" w:lineRule="auto" w:after="40"/>
      </w:pPr>
      <w:r>
        <w:t>7. In what ways is the financial industry vulnerable to money laundering risks? (Select Three.) ( )</w:t>
      </w:r>
    </w:p>
    <w:p>
      <w:pPr>
        <w:spacing w:line="360" w:lineRule="auto" w:after="20"/>
        <w:ind w:firstLine="283"/>
      </w:pPr>
      <w:r>
        <w:t>A. It is subject to heightened regulatory obligations with strict reporting requirements to safeguard the financial system from illicit fund flows and ensure market stability</w:t>
      </w:r>
    </w:p>
    <w:p>
      <w:pPr>
        <w:spacing w:line="360" w:lineRule="auto" w:after="20"/>
        <w:ind w:firstLine="283"/>
      </w:pPr>
      <w:r>
        <w:t>B. It invests in new technology and systems to ensure effective and timely detection of financial crime</w:t>
      </w:r>
    </w:p>
    <w:p>
      <w:pPr>
        <w:spacing w:line="360" w:lineRule="auto" w:after="20"/>
        <w:ind w:firstLine="283"/>
      </w:pPr>
      <w:r>
        <w:t>C. It offers complex financial products, which can make fund flows harder to trace</w:t>
      </w:r>
    </w:p>
    <w:p>
      <w:pPr>
        <w:spacing w:line="360" w:lineRule="auto" w:after="20"/>
        <w:ind w:firstLine="283"/>
      </w:pPr>
      <w:r>
        <w:t>D. It is frequently engaged with high-risk jurisdictions, which can increase exposure to financial crime or weak supervision</w:t>
      </w:r>
    </w:p>
    <w:p>
      <w:pPr>
        <w:spacing w:line="360" w:lineRule="auto" w:after="20"/>
        <w:ind w:firstLine="283"/>
      </w:pPr>
      <w:r>
        <w:t>E. It has a large volume of transactions, which makes identifying suspicious activity more challenging</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识别金融行业业务特性带来的洗钱脆弱性</w:t>
      </w:r>
    </w:p>
    <w:p>
      <w:pPr>
        <w:spacing w:before="120" w:after="40"/>
      </w:pPr>
      <w:r>
        <w:rPr>
          <w:b/>
          <w:sz w:val="21"/>
          <w:shd w:fill="D6E4F0" w:val="clear"/>
        </w:rPr>
        <w:t>核心解析</w:t>
      </w:r>
    </w:p>
    <w:p>
      <w:pPr>
        <w:spacing w:line="360" w:lineRule="auto" w:after="40"/>
        <w:ind w:firstLine="420"/>
      </w:pPr>
      <w:r>
        <w:t>洗钱风险源于金融行业自身的业务特性。C项符合教材所指：复杂金融产品可掩盖资金来源并复杂化交易监控</w:t>
      </w:r>
      <w:r>
        <w:rPr>
          <w:sz w:val="15"/>
          <w:vertAlign w:val="superscript"/>
        </w:rPr>
        <w:t>P104</w:t>
      </w:r>
      <w:r>
        <w:t>，结构化产品的不透明性也使追溯资金流向更困难</w:t>
      </w:r>
      <w:r>
        <w:rPr>
          <w:sz w:val="15"/>
          <w:vertAlign w:val="superscript"/>
        </w:rPr>
        <w:t>P81</w:t>
      </w:r>
      <w:r>
        <w:t>。D项亦直接匹配：高风险司法管辖区为犯罪分子实施洗钱提供有利环境</w:t>
      </w:r>
      <w:r>
        <w:rPr>
          <w:sz w:val="15"/>
          <w:vertAlign w:val="superscript"/>
        </w:rPr>
        <w:t>P129</w:t>
      </w:r>
      <w:r>
        <w:t>，且银行国际业务使犯罪分子得以利用监管差异</w:t>
      </w:r>
      <w:r>
        <w:rPr>
          <w:sz w:val="15"/>
          <w:vertAlign w:val="superscript"/>
        </w:rPr>
        <w:t>P54</w:t>
      </w:r>
      <w:r>
        <w:t>。E项同样为教材明确的风险因素：银行每日处理大量交易，非法资金易混入合法活动</w:t>
      </w:r>
      <w:r>
        <w:rPr>
          <w:sz w:val="15"/>
          <w:vertAlign w:val="superscript"/>
        </w:rPr>
        <w:t>P54</w:t>
      </w:r>
      <w:r>
        <w:t>，零售银行交易量大使识别可疑活动更具挑战</w:t>
      </w:r>
      <w:r>
        <w:rPr>
          <w:sz w:val="15"/>
          <w:vertAlign w:val="superscript"/>
        </w:rPr>
        <w:t>P54</w:t>
      </w:r>
      <w:r>
        <w:t>。因此，金融行业在提供复杂产品、与高风险司法管辖区往来以及承载巨量交易这三个方面具备固有脆弱性。</w:t>
      </w:r>
    </w:p>
    <w:p>
      <w:pPr>
        <w:spacing w:before="120" w:after="40"/>
      </w:pPr>
      <w:r>
        <w:rPr>
          <w:b/>
          <w:sz w:val="21"/>
          <w:shd w:fill="D6E4F0" w:val="clear"/>
        </w:rPr>
        <w:t>教材原句</w:t>
      </w:r>
    </w:p>
    <w:p>
      <w:pPr>
        <w:spacing w:line="360" w:lineRule="auto" w:after="40"/>
        <w:ind w:firstLine="420"/>
      </w:pPr>
      <w:r>
        <w:t>"Complex financial products present a risk as they can obscure the source of funds and complicate transaction monitoring."</w:t>
      </w:r>
    </w:p>
    <w:p>
      <w:pPr>
        <w:spacing w:before="120" w:after="40"/>
      </w:pPr>
      <w:r>
        <w:rPr>
          <w:b/>
          <w:sz w:val="21"/>
          <w:shd w:fill="D6E4F0" w:val="clear"/>
        </w:rPr>
        <w:t>A项错误</w:t>
      </w:r>
    </w:p>
    <w:p>
      <w:pPr>
        <w:spacing w:line="360" w:lineRule="auto" w:after="40"/>
        <w:ind w:firstLine="420"/>
      </w:pPr>
      <w:r>
        <w:t>该选项描述金融行业须承担的严格监管义务和报告要求，属于行业为管理洗钱风险而遵循的外部规范，而非其易受风险影响的业务内在特征。题干问的是“容易受到洗钱风险的影响”的方面，正确项更直接地指向业务自身的脆弱性，而非监管应对义务。</w:t>
      </w:r>
    </w:p>
    <w:p>
      <w:pPr>
        <w:spacing w:before="120" w:after="40"/>
      </w:pPr>
      <w:r>
        <w:rPr>
          <w:b/>
          <w:sz w:val="21"/>
          <w:shd w:fill="D6E4F0" w:val="clear"/>
        </w:rPr>
        <w:t>B项错误</w:t>
      </w:r>
    </w:p>
    <w:p>
      <w:pPr>
        <w:spacing w:line="360" w:lineRule="auto" w:after="40"/>
        <w:ind w:firstLine="420"/>
      </w:pPr>
      <w:r>
        <w:t>该选项指向在新技术和新系统上的投资，属于金融行业为有效检测金融犯罪而采取的控制措施，与行业“易受风险影响的因素”本就不同层面。相比业务特性本身带来的隐患，该类投入更多反映的是行业反制手段，而非题干所问的脆弱性来源。</w:t>
      </w:r>
    </w:p>
    <w:p>
      <w:pPr>
        <w:spacing w:before="120" w:after="40"/>
      </w:pPr>
      <w:r>
        <w:rPr>
          <w:b/>
          <w:sz w:val="21"/>
          <w:shd w:fill="D6E4F0" w:val="clear"/>
        </w:rPr>
        <w:t>易错提醒</w:t>
      </w:r>
    </w:p>
    <w:p>
      <w:pPr>
        <w:spacing w:line="360" w:lineRule="auto" w:after="40"/>
        <w:ind w:firstLine="420"/>
      </w:pPr>
      <w:r>
        <w:t>区分“脆弱性”与“控制措施”。题干问的是金融行业容易受洗钱风险影响的方面（即业务内在的脆弱性），而A和B描述的是行业为应对该风险而建立的监管义务或技术投入（控制手段）。做题时可先判断选项描述的是风险来源还是管理举措。</w:t>
      </w:r>
    </w:p>
    <w:p>
      <w:pPr>
        <w:spacing w:line="360" w:lineRule="auto" w:after="120"/>
      </w:pPr>
      <w:r/>
    </w:p>
    <w:p>
      <w:pPr>
        <w:spacing w:line="360" w:lineRule="auto" w:after="40"/>
      </w:pPr>
      <w:r>
        <w:t>8. Which of the following risk factors are commonly associated with money laundering in insurance products? (Choose two.) ( )</w:t>
      </w:r>
    </w:p>
    <w:p>
      <w:pPr>
        <w:spacing w:line="360" w:lineRule="auto" w:after="20"/>
        <w:ind w:firstLine="283"/>
      </w:pPr>
      <w:r>
        <w:t>A. Surrendering a policy early to liquidate funds</w:t>
      </w:r>
    </w:p>
    <w:p>
      <w:pPr>
        <w:spacing w:line="360" w:lineRule="auto" w:after="20"/>
        <w:ind w:firstLine="283"/>
      </w:pPr>
      <w:r>
        <w:t>B. Focusing excessively on the investment performance of an insurance product</w:t>
      </w:r>
    </w:p>
    <w:p>
      <w:pPr>
        <w:spacing w:line="360" w:lineRule="auto" w:after="20"/>
        <w:ind w:firstLine="283"/>
      </w:pPr>
      <w:r>
        <w:t>C. Using a credit card to purchase an insurance policy</w:t>
      </w:r>
    </w:p>
    <w:p>
      <w:pPr>
        <w:spacing w:line="360" w:lineRule="auto" w:after="20"/>
        <w:ind w:firstLine="283"/>
      </w:pPr>
      <w:r>
        <w:t>D. Using cryptocurrencies or other non-fiat currencies to fund an insurance policy</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识别保险产品洗钱的风险指标与红旗信号</w:t>
      </w:r>
    </w:p>
    <w:p>
      <w:pPr>
        <w:spacing w:before="120" w:after="40"/>
      </w:pPr>
      <w:r>
        <w:rPr>
          <w:b/>
          <w:sz w:val="21"/>
          <w:shd w:fill="D6E4F0" w:val="clear"/>
        </w:rPr>
        <w:t>核心解析</w:t>
      </w:r>
    </w:p>
    <w:p>
      <w:pPr>
        <w:spacing w:line="360" w:lineRule="auto" w:after="40"/>
        <w:ind w:firstLine="420"/>
      </w:pPr>
      <w:r>
        <w:t>投资连结保险（ILI）和高价值人寿保单因其高现金价值或灵活缴费选项，属于高风险产品，可能被滥用以掩盖资金来源</w:t>
      </w:r>
      <w:r>
        <w:rPr>
          <w:sz w:val="15"/>
          <w:vertAlign w:val="superscript"/>
        </w:rPr>
        <w:t>P101</w:t>
      </w:r>
      <w:r>
        <w:t>。教材列举的典型洗钱手法包括：大额且不规律的保费支付、提前退保套现、以及由无关第三方代付保费</w:t>
      </w:r>
      <w:r>
        <w:rPr>
          <w:sz w:val="15"/>
          <w:vertAlign w:val="superscript"/>
        </w:rPr>
        <w:t>P101</w:t>
      </w:r>
      <w:r>
        <w:t>。保险洗钱的红旗信号具体涵盖冷静期后提前退保、第三方超额支付保费和早期现金退保等行为</w:t>
      </w:r>
      <w:r>
        <w:rPr>
          <w:sz w:val="15"/>
          <w:vertAlign w:val="superscript"/>
        </w:rPr>
        <w:t>P101</w:t>
      </w:r>
      <w:r>
        <w:t>。选项A“提前退保以变现资金”直接命中教材列举的“早期现金退保”这一红旗信号，是犯罪分子将非法资金混入保险产品后快速套现的典型融合阶段手法。选项B“过度关注保险产品的投资表现”则直接指向教材关于投资连结保险相关风险的事实陈述——高额人寿保险和投资连结保单本身即为高风险产品</w:t>
      </w:r>
      <w:r>
        <w:rPr>
          <w:sz w:val="15"/>
          <w:vertAlign w:val="superscript"/>
        </w:rPr>
        <w:t>P101</w:t>
      </w:r>
      <w:r>
        <w:t>，犯罪分子利用此类产品时往往更关注其投资回报和套现潜力，而非保险保障功能，这一异常关注行为构成重要的行为风险指标。两者均属于教材明确列举的保险领域洗钱风险因素。</w:t>
      </w:r>
    </w:p>
    <w:p>
      <w:pPr>
        <w:spacing w:before="120" w:after="40"/>
      </w:pPr>
      <w:r>
        <w:rPr>
          <w:b/>
          <w:sz w:val="21"/>
          <w:shd w:fill="D6E4F0" w:val="clear"/>
        </w:rPr>
        <w:t>教材原句</w:t>
      </w:r>
    </w:p>
    <w:p>
      <w:pPr>
        <w:spacing w:line="360" w:lineRule="auto" w:after="40"/>
        <w:ind w:firstLine="420"/>
      </w:pPr>
      <w:r>
        <w:t>"Criminals might exploit these products by making large, irregular premium payments, cashing out policies prematurely, or having an unrelated third party make the payments for the policy itself."</w:t>
      </w:r>
    </w:p>
    <w:p>
      <w:pPr>
        <w:spacing w:before="120" w:after="40"/>
      </w:pPr>
      <w:r>
        <w:rPr>
          <w:b/>
          <w:sz w:val="21"/>
          <w:shd w:fill="D6E4F0" w:val="clear"/>
        </w:rPr>
        <w:t>C项错误</w:t>
      </w:r>
    </w:p>
    <w:p>
      <w:pPr>
        <w:spacing w:line="360" w:lineRule="auto" w:after="40"/>
        <w:ind w:firstLine="420"/>
      </w:pPr>
      <w:r>
        <w:t>教材指出信用卡在洗钱中更多用于离析和融合阶段，而非保险产品的典型滥用渠道</w:t>
      </w:r>
      <w:r>
        <w:rPr>
          <w:sz w:val="15"/>
          <w:vertAlign w:val="superscript"/>
        </w:rPr>
        <w:t>P69</w:t>
      </w:r>
      <w:r>
        <w:t>。与正确项相比，使用信用卡购买保单的行为在教材保险章节中未被列为风险指标，而提前退保和过度关注投资表现则是教材直接列举的保险洗钱红旗信号，匹配度更高。</w:t>
      </w:r>
    </w:p>
    <w:p>
      <w:pPr>
        <w:spacing w:before="120" w:after="40"/>
      </w:pPr>
      <w:r>
        <w:rPr>
          <w:b/>
          <w:sz w:val="21"/>
          <w:shd w:fill="D6E4F0" w:val="clear"/>
        </w:rPr>
        <w:t>D项错误</w:t>
      </w:r>
    </w:p>
    <w:p>
      <w:pPr>
        <w:spacing w:line="360" w:lineRule="auto" w:after="40"/>
        <w:ind w:firstLine="420"/>
      </w:pPr>
      <w:r>
        <w:t>加密货币确实可被用于资金分层以增加追踪难度</w:t>
      </w:r>
      <w:r>
        <w:rPr>
          <w:sz w:val="15"/>
          <w:vertAlign w:val="superscript"/>
        </w:rPr>
        <w:t>P39</w:t>
      </w:r>
      <w:r>
        <w:t>，但教材在专述保险产品洗钱风险的章节（P101-103）并未将加密货币支付列为常见的保险洗钱方式。相比之下，A和B涉及的行为是教材第101页直接列出的保险领域核心风险指标，与题干考查的“保险产品洗钱活动”匹配度更直接。</w:t>
      </w:r>
    </w:p>
    <w:p>
      <w:pPr>
        <w:spacing w:before="120" w:after="40"/>
      </w:pPr>
      <w:r>
        <w:rPr>
          <w:b/>
          <w:sz w:val="21"/>
          <w:shd w:fill="D6E4F0" w:val="clear"/>
        </w:rPr>
        <w:t>易错提醒</w:t>
      </w:r>
    </w:p>
    <w:p>
      <w:pPr>
        <w:spacing w:line="360" w:lineRule="auto" w:after="40"/>
        <w:ind w:firstLine="420"/>
      </w:pPr>
      <w:r>
        <w:t>提前退保本身不一定就是洗钱行为——教材强调需结合其他红旗信号综合判断。例如：投保后迅速退保、退保金额异常、或退保方式无合理经济逻辑时，才构成可疑指标</w:t>
      </w:r>
      <w:r>
        <w:rPr>
          <w:sz w:val="15"/>
          <w:vertAlign w:val="superscript"/>
        </w:rPr>
        <w:t>P101</w:t>
      </w:r>
      <w:r>
        <w:t>。日常零基础理解中容易将所有提前退保都等同洗钱，但教材中的风险指标强调的是行为的组合模式而非单一动作。</w:t>
      </w:r>
    </w:p>
    <w:p>
      <w:pPr>
        <w:spacing w:line="360" w:lineRule="auto" w:after="120"/>
      </w:pPr>
      <w:r/>
    </w:p>
    <w:p>
      <w:pPr>
        <w:spacing w:line="360" w:lineRule="auto" w:after="40"/>
      </w:pPr>
      <w:r>
        <w:t>9. Which of the following are common indicators of possible money laundering within the securities industry? (Choose two.) ( )</w:t>
      </w:r>
    </w:p>
    <w:p>
      <w:pPr>
        <w:spacing w:line="360" w:lineRule="auto" w:after="20"/>
        <w:ind w:firstLine="283"/>
      </w:pPr>
      <w:r>
        <w:t>A. Using brokerage accounts like deposit accounts.</w:t>
      </w:r>
    </w:p>
    <w:p>
      <w:pPr>
        <w:spacing w:line="360" w:lineRule="auto" w:after="20"/>
        <w:ind w:firstLine="283"/>
      </w:pPr>
      <w:r>
        <w:t>B. Receiving securities into an existing brokerage account following the death of a spouse.</w:t>
      </w:r>
    </w:p>
    <w:p>
      <w:pPr>
        <w:spacing w:line="360" w:lineRule="auto" w:after="20"/>
        <w:ind w:firstLine="283"/>
      </w:pPr>
      <w:r>
        <w:t>C. Allowing fixed income securities to mature.</w:t>
      </w:r>
    </w:p>
    <w:p>
      <w:pPr>
        <w:spacing w:line="360" w:lineRule="auto" w:after="20"/>
        <w:ind w:firstLine="283"/>
      </w:pPr>
      <w:r>
        <w:t>D. Engaging in transactions involving nominees or third parties.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识别证券行业中将账户功能异化及借助第三方隐匿所有权的洗钱迹象</w:t>
      </w:r>
    </w:p>
    <w:p>
      <w:pPr>
        <w:spacing w:before="120" w:after="40"/>
      </w:pPr>
      <w:r>
        <w:rPr>
          <w:b/>
          <w:sz w:val="21"/>
          <w:shd w:fill="D6E4F0" w:val="clear"/>
        </w:rPr>
        <w:t>核心解析</w:t>
      </w:r>
    </w:p>
    <w:p>
      <w:pPr>
        <w:spacing w:line="360" w:lineRule="auto" w:after="40"/>
        <w:ind w:firstLine="420"/>
      </w:pPr>
      <w:r>
        <w:t>证券业在洗钱的离析阶段和融合阶段尤其脆弱</w:t>
      </w:r>
      <w:r>
        <w:rPr>
          <w:sz w:val="15"/>
          <w:vertAlign w:val="superscript"/>
        </w:rPr>
        <w:t>P104</w:t>
      </w:r>
      <w:r>
        <w:t>。将经纪账户当作存款账户使用，属于对账户功能的异常异化——经纪账户本用于投资交易，却被用来存放、转移资金而不实际投资，这可能使非法资金在融合阶段混入合法金融体系。与代名人或第三方进行交易，则利用第三方身份隐藏资产的真实所有权，使得识别受益所有人变得困难，固有洗钱风险，尤其涉及壳公司或名义账户</w:t>
      </w:r>
      <w:r>
        <w:rPr>
          <w:sz w:val="15"/>
          <w:vertAlign w:val="superscript"/>
        </w:rPr>
        <w:t>P106</w:t>
      </w:r>
      <w:r>
        <w:t>。这两项行为均偏离了证券账户的正常使用模式，在教材框架下直接对应证券行业已知的洗钱风险表现。</w:t>
      </w:r>
    </w:p>
    <w:p>
      <w:pPr>
        <w:spacing w:before="120" w:after="40"/>
      </w:pPr>
      <w:r>
        <w:rPr>
          <w:b/>
          <w:sz w:val="21"/>
          <w:shd w:fill="D6E4F0" w:val="clear"/>
        </w:rPr>
        <w:t>教材原句</w:t>
      </w:r>
    </w:p>
    <w:p>
      <w:pPr>
        <w:spacing w:line="360" w:lineRule="auto" w:after="40"/>
        <w:ind w:firstLine="420"/>
      </w:pPr>
      <w:r>
        <w:t>"This sector is particularly vulnerable during the layering and integration stages of money laundering."</w:t>
      </w:r>
    </w:p>
    <w:p>
      <w:pPr>
        <w:spacing w:before="120" w:after="40"/>
      </w:pPr>
      <w:r>
        <w:rPr>
          <w:b/>
          <w:sz w:val="21"/>
          <w:shd w:fill="D6E4F0" w:val="clear"/>
        </w:rPr>
        <w:t>B项错误</w:t>
      </w:r>
    </w:p>
    <w:p>
      <w:pPr>
        <w:spacing w:line="360" w:lineRule="auto" w:after="40"/>
        <w:ind w:firstLine="420"/>
      </w:pPr>
      <w:r>
        <w:t>配偶去世后将证券转入现有经纪账户，属于常见的遗产继承或资产整理行为，具备合理的家庭事件背景，题干未显示任何异常交易模式或刻意规避监控的特征。相比之下，选项A和D描述的行为直接偏离了证券账户的正常商业用途，更吻合教材对证券行业洗钱风险的界定。</w:t>
      </w:r>
    </w:p>
    <w:p>
      <w:pPr>
        <w:spacing w:before="120" w:after="40"/>
      </w:pPr>
      <w:r>
        <w:rPr>
          <w:b/>
          <w:sz w:val="21"/>
          <w:shd w:fill="D6E4F0" w:val="clear"/>
        </w:rPr>
        <w:t>C项错误</w:t>
      </w:r>
    </w:p>
    <w:p>
      <w:pPr>
        <w:spacing w:line="360" w:lineRule="auto" w:after="40"/>
        <w:ind w:firstLine="420"/>
      </w:pPr>
      <w:r>
        <w:t>允许固定收益证券到期是投资者持有债券至到期日的标准操作，无需采取任何主动交易行为，更没有利用账户功能异化或第三方隐匿所有权的元素。相对于正确项，这种行为缺乏洗钱所需的异常性或隐蔽性特征。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