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A periodic review has been completed for an existing virtual asset service provider (VASP) customer. Which of the following are indicators of potential money laundering? (Select three.) ( )</w:t>
      </w:r>
    </w:p>
    <w:p>
      <w:pPr>
        <w:spacing w:line="360" w:lineRule="auto" w:after="20"/>
        <w:ind w:firstLine="283"/>
      </w:pPr>
      <w:r>
        <w:t>A. Use of shell companies for deposits and withdrawals into the VASP.</w:t>
      </w:r>
    </w:p>
    <w:p>
      <w:pPr>
        <w:spacing w:line="360" w:lineRule="auto" w:after="20"/>
        <w:ind w:firstLine="283"/>
      </w:pPr>
      <w:r>
        <w:t>B. Using a peer-to-peer network to reduce costs associated with server maintenance and data storage.</w:t>
      </w:r>
    </w:p>
    <w:p>
      <w:pPr>
        <w:spacing w:line="360" w:lineRule="auto" w:after="20"/>
        <w:ind w:firstLine="283"/>
      </w:pPr>
      <w:r>
        <w:t>C. Rapid market fluctuations resulting in quick changes in the value of underlying assets.</w:t>
      </w:r>
    </w:p>
    <w:p>
      <w:pPr>
        <w:spacing w:line="360" w:lineRule="auto" w:after="20"/>
        <w:ind w:firstLine="283"/>
      </w:pPr>
      <w:r>
        <w:t>D. Frequent use of mixers and tumblers for holdings and transactions.</w:t>
      </w:r>
    </w:p>
    <w:p>
      <w:pPr>
        <w:spacing w:line="360" w:lineRule="auto" w:after="20"/>
        <w:ind w:firstLine="283"/>
      </w:pPr>
      <w:r>
        <w:t>E. Receiving funds from countries known for weak money laundering regulations and frameworks.</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识别VASP场景下壳公司、混合器及薄弱法域等洗钱迹象</w:t>
      </w:r>
    </w:p>
    <w:p>
      <w:pPr>
        <w:spacing w:before="120" w:after="40"/>
      </w:pPr>
      <w:r>
        <w:rPr>
          <w:b/>
          <w:sz w:val="21"/>
          <w:shd w:fill="D6E4F0" w:val="clear"/>
        </w:rPr>
        <w:t>核心解析</w:t>
      </w:r>
    </w:p>
    <w:p>
      <w:pPr>
        <w:spacing w:line="360" w:lineRule="auto" w:after="40"/>
        <w:ind w:firstLine="420"/>
      </w:pPr>
      <w:r>
        <w:t>洗钱行为通常会隐藏资金来源或身份。在加密资产语境中，教材列举的红旗信号包括：利用壳公司进行存款和提款——P99将“涉及潜在壳公司”列为电子商务洗钱风险之一，P57指出壳公司结构可被用于洗钱；频繁使用混合器/翻滚器——P115要求VASP“应将与混合器和翻滚器相关的交易视为高风险并采取适当尽职调查措施”；以及接收来自反洗钱法规薄弱司法管辖区的资金——P112将“反复向监管薄弱地区的法定货币交易所转账”作为洗钱红旗信号，表明资金从薄弱法域流入是可疑特征。据此，定期审查若发现空壳公司存取款、频繁使用混合器、接受薄弱法域资金，即为潜在洗钱迹象。</w:t>
      </w:r>
    </w:p>
    <w:p>
      <w:pPr>
        <w:spacing w:before="120" w:after="40"/>
      </w:pPr>
      <w:r>
        <w:rPr>
          <w:b/>
          <w:sz w:val="21"/>
          <w:shd w:fill="D6E4F0" w:val="clear"/>
        </w:rPr>
        <w:t>教材原句</w:t>
      </w:r>
    </w:p>
    <w:p>
      <w:pPr>
        <w:spacing w:line="360" w:lineRule="auto" w:after="40"/>
        <w:ind w:firstLine="420"/>
      </w:pPr>
      <w:r>
        <w:t>"However, virtual asset service providers should treat transactions linked to mixers and tumblers as high risk and take appropriate diligence measures to reduce potential risk."</w:t>
      </w:r>
    </w:p>
    <w:p>
      <w:pPr>
        <w:spacing w:before="120" w:after="40"/>
      </w:pPr>
      <w:r>
        <w:rPr>
          <w:b/>
          <w:sz w:val="21"/>
          <w:shd w:fill="D6E4F0" w:val="clear"/>
        </w:rPr>
        <w:t>B项错误</w:t>
      </w:r>
    </w:p>
    <w:p>
      <w:pPr>
        <w:spacing w:line="360" w:lineRule="auto" w:after="40"/>
        <w:ind w:firstLine="420"/>
      </w:pPr>
      <w:r>
        <w:t>利用对等网络降低成本是区块链技术提升效率的优势（P111点对点交易），不涉及掩盖资金流向，与正确项中主动隐藏身份或利用监管漏洞的行为相比，洗钱迹象的匹配度明显更低。</w:t>
      </w:r>
    </w:p>
    <w:p>
      <w:pPr>
        <w:spacing w:before="120" w:after="40"/>
      </w:pPr>
      <w:r>
        <w:rPr>
          <w:b/>
          <w:sz w:val="21"/>
          <w:shd w:fill="D6E4F0" w:val="clear"/>
        </w:rPr>
        <w:t>C项错误</w:t>
      </w:r>
    </w:p>
    <w:p>
      <w:pPr>
        <w:spacing w:line="360" w:lineRule="auto" w:after="40"/>
        <w:ind w:firstLine="420"/>
      </w:pPr>
      <w:r>
        <w:t>市场快速波动导致资产价值变化属于市场风险</w:t>
      </w:r>
      <w:r>
        <w:rPr>
          <w:sz w:val="15"/>
          <w:vertAlign w:val="superscript"/>
        </w:rPr>
        <w:t>P243</w:t>
      </w:r>
      <w:r>
        <w:t>，是投资固有特征，不反映掩饰资金来源或身份的意图，在教材框架下其与洗钱迹象的关联不如正确项直接。</w:t>
      </w:r>
    </w:p>
    <w:p>
      <w:pPr>
        <w:spacing w:before="120" w:after="40"/>
      </w:pPr>
      <w:r>
        <w:rPr>
          <w:b/>
          <w:sz w:val="21"/>
          <w:shd w:fill="D6E4F0" w:val="clear"/>
        </w:rPr>
        <w:t>易错提醒</w:t>
      </w:r>
    </w:p>
    <w:p>
      <w:pPr>
        <w:spacing w:line="360" w:lineRule="auto" w:after="40"/>
        <w:ind w:firstLine="420"/>
      </w:pPr>
      <w:r>
        <w:t>市场波动属于市场风险</w:t>
      </w:r>
      <w:r>
        <w:rPr>
          <w:sz w:val="15"/>
          <w:vertAlign w:val="superscript"/>
        </w:rPr>
        <w:t>P243</w:t>
      </w:r>
      <w:r>
        <w:t>，不涉及掩饰资金来源；洗钱迹象的核心是隐藏交易轨迹、模糊受益所有权的行为（如混合器、壳公司、资金来自薄弱法域）。</w:t>
      </w:r>
    </w:p>
    <w:p>
      <w:pPr>
        <w:spacing w:line="360" w:lineRule="auto" w:after="120"/>
      </w:pPr>
      <w:r/>
    </w:p>
    <w:p>
      <w:pPr>
        <w:spacing w:line="360" w:lineRule="auto" w:after="40"/>
      </w:pPr>
      <w:r>
        <w:t>2. Which ML/TF risks are associated with cryptoassets? (Select three.) ( )</w:t>
      </w:r>
    </w:p>
    <w:p>
      <w:pPr>
        <w:spacing w:line="360" w:lineRule="auto" w:after="20"/>
        <w:ind w:firstLine="283"/>
      </w:pPr>
      <w:r>
        <w:t>A. Devaluation</w:t>
      </w:r>
    </w:p>
    <w:p>
      <w:pPr>
        <w:spacing w:line="360" w:lineRule="auto" w:after="20"/>
        <w:ind w:firstLine="283"/>
      </w:pPr>
      <w:r>
        <w:t>B. Smart contract vulnerabilities</w:t>
      </w:r>
    </w:p>
    <w:p>
      <w:pPr>
        <w:spacing w:line="360" w:lineRule="auto" w:after="20"/>
        <w:ind w:firstLine="283"/>
      </w:pPr>
      <w:r>
        <w:t>C. Potential for anonymity</w:t>
      </w:r>
    </w:p>
    <w:p>
      <w:pPr>
        <w:spacing w:line="360" w:lineRule="auto" w:after="20"/>
        <w:ind w:firstLine="283"/>
      </w:pPr>
      <w:r>
        <w:t>D. Global reach</w:t>
      </w:r>
    </w:p>
    <w:p>
      <w:pPr>
        <w:spacing w:line="360" w:lineRule="auto" w:after="20"/>
        <w:ind w:firstLine="283"/>
      </w:pPr>
      <w:r>
        <w:t>E. High transaction fees</w:t>
      </w:r>
    </w:p>
    <w:p>
      <w:pPr>
        <w:spacing w:line="360" w:lineRule="auto" w:after="20"/>
        <w:ind w:firstLine="283"/>
      </w:pPr>
      <w:r>
        <w:t>F. Use to layer illicit funds</w:t>
      </w:r>
    </w:p>
    <w:p>
      <w:pPr>
        <w:spacing w:line="360" w:lineRule="auto" w:after="40"/>
      </w:pPr>
      <w:r>
        <w:t>答案：C、D、F</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识别加密资产因其匿名性、全球触达和分层手法带来的洗钱风险</w:t>
      </w:r>
    </w:p>
    <w:p>
      <w:pPr>
        <w:spacing w:before="120" w:after="40"/>
      </w:pPr>
      <w:r>
        <w:rPr>
          <w:b/>
          <w:sz w:val="21"/>
          <w:shd w:fill="D6E4F0" w:val="clear"/>
        </w:rPr>
        <w:t>核心解析</w:t>
      </w:r>
    </w:p>
    <w:p>
      <w:pPr>
        <w:spacing w:line="360" w:lineRule="auto" w:after="40"/>
        <w:ind w:firstLine="420"/>
      </w:pPr>
      <w:r>
        <w:t>加密资产的洗钱和恐怖融资风险，根植于其技术的三个核心特征。第一，匿名性（Potential for anonymity）。尽管区块链交易记录公开，但追踪实际所有权极具挑战，部分“隐私币”更利用非公开区块链实现匿名转账，使追溯资金来源和去向变得极为困难</w:t>
      </w:r>
      <w:r>
        <w:rPr>
          <w:sz w:val="15"/>
          <w:vertAlign w:val="superscript"/>
        </w:rPr>
        <w:t>P111</w:t>
      </w:r>
      <w:r>
        <w:t>。第二，全球影响力（Global reach）。代币等加密资产可在区块链生态内跨境交易，完全绕过传统金融体系，使犯罪分子得以利用不同司法管辖区的监管差异转移资金</w:t>
      </w:r>
      <w:r>
        <w:rPr>
          <w:sz w:val="15"/>
          <w:vertAlign w:val="superscript"/>
        </w:rPr>
        <w:t>P109</w:t>
      </w:r>
      <w:r>
        <w:t>。第三，分层隐藏非法资金（Use to layer illicit funds）。代币可在去中心化平台上进行交换，模糊非法资金的来源与去向，这正是洗钱三阶段中分层（layering）阶段的典型手法——通过多层交易切断资金与原始犯罪的关联</w:t>
      </w:r>
      <w:r>
        <w:rPr>
          <w:sz w:val="15"/>
          <w:vertAlign w:val="superscript"/>
        </w:rPr>
        <w:t>P109</w:t>
      </w:r>
      <w:r>
        <w:t>。这三项特征直接对应了教材对加密资产生态系统ML/TF风险的论述：伪匿名性、跨境触达和监管缺失为洗钱创造了新机会</w:t>
      </w:r>
      <w:r>
        <w:rPr>
          <w:sz w:val="15"/>
          <w:vertAlign w:val="superscript"/>
        </w:rPr>
        <w:t>P112</w:t>
      </w:r>
      <w:r>
        <w:t>。</w:t>
      </w:r>
    </w:p>
    <w:p>
      <w:pPr>
        <w:spacing w:before="120" w:after="40"/>
      </w:pPr>
      <w:r>
        <w:rPr>
          <w:b/>
          <w:sz w:val="21"/>
          <w:shd w:fill="D6E4F0" w:val="clear"/>
        </w:rPr>
        <w:t>A项错误</w:t>
      </w:r>
    </w:p>
    <w:p>
      <w:pPr>
        <w:spacing w:line="360" w:lineRule="auto" w:after="40"/>
        <w:ind w:firstLine="420"/>
      </w:pPr>
      <w:r>
        <w:t>贬值（Devaluation）属于资产价值变动的市场风险或投资风险，而非反洗钱语境下的洗钱手法风险。教材在讨论“高价值资产估值不一致”时，将其作为一般性的红旗信号指标，指资产被人为抬高或压低定价以操纵交易、掩盖资金性质</w:t>
      </w:r>
      <w:r>
        <w:rPr>
          <w:sz w:val="15"/>
          <w:vertAlign w:val="superscript"/>
        </w:rPr>
        <w:t>P129</w:t>
      </w:r>
      <w:r>
        <w:t>，但未将其列示为加密资产特有的ML/TF风险。题干问的是与加密资产“相关”的ML/TF风险，贬值与该问题的匹配度不如那些因技术特性直接产生的风险项。</w:t>
      </w:r>
    </w:p>
    <w:p>
      <w:pPr>
        <w:spacing w:before="120" w:after="40"/>
      </w:pPr>
      <w:r>
        <w:rPr>
          <w:b/>
          <w:sz w:val="21"/>
          <w:shd w:fill="D6E4F0" w:val="clear"/>
        </w:rPr>
        <w:t>B项错误</w:t>
      </w:r>
    </w:p>
    <w:p>
      <w:pPr>
        <w:spacing w:line="360" w:lineRule="auto" w:after="40"/>
        <w:ind w:firstLine="420"/>
      </w:pPr>
      <w:r>
        <w:t>智能合约漏洞（Smart contract vulnerabilities）是加密资产技术基础设施层面的操作风险或网络安全风险。教材在介绍DeFi时提及智能合约为其运行的协议基础</w:t>
      </w:r>
      <w:r>
        <w:rPr>
          <w:sz w:val="15"/>
          <w:vertAlign w:val="superscript"/>
        </w:rPr>
        <w:t>P108</w:t>
      </w:r>
      <w:r>
        <w:t>，但将其归类为生态系统支持要素的技术描述。洗钱风险的核心关注点在于如何利用匿名性、跨境能力和去中心化平台来“模糊非法资金来源”</w:t>
      </w:r>
      <w:r>
        <w:rPr>
          <w:sz w:val="15"/>
          <w:vertAlign w:val="superscript"/>
        </w:rPr>
        <w:t>P109</w:t>
      </w:r>
      <w:r>
        <w:t>，而非技术合约本身的漏洞。相比之下，正确项C、D、F更直接匹配教材定义下的洗钱行为特征。</w:t>
      </w:r>
    </w:p>
    <w:p>
      <w:pPr>
        <w:spacing w:before="120" w:after="40"/>
      </w:pPr>
      <w:r>
        <w:rPr>
          <w:b/>
          <w:sz w:val="21"/>
          <w:shd w:fill="D6E4F0" w:val="clear"/>
        </w:rPr>
        <w:t>E项错误</w:t>
      </w:r>
    </w:p>
    <w:p>
      <w:pPr>
        <w:spacing w:line="360" w:lineRule="auto" w:after="40"/>
        <w:ind w:firstLine="420"/>
      </w:pPr>
      <w:r>
        <w:t>高额交易费用（High transaction fees）在教材关于加密资产风险的论述中未出现，题干也未提供相关交易费用的数据或背景。教材中提及的费用案例（如富国银行多收投资顾问账户费用，P186）属于特定金融机构的合规和消费者保护违规问题，与加密资产的洗钱风险无关。题干条件不支持将其判断为与加密资产相关的ML/TF风险。</w:t>
      </w:r>
    </w:p>
    <w:p>
      <w:pPr>
        <w:spacing w:line="360" w:lineRule="auto" w:after="120"/>
      </w:pPr>
      <w:r/>
    </w:p>
    <w:p>
      <w:pPr>
        <w:spacing w:line="360" w:lineRule="auto" w:after="40"/>
      </w:pPr>
      <w:r>
        <w:t>3. When a financial institution (FI) is considering providing traditional banking services to a virtual asset service provider (VASP), consideration should be given to whether the FI: (Select Two.) ( )</w:t>
      </w:r>
    </w:p>
    <w:p>
      <w:pPr>
        <w:spacing w:line="360" w:lineRule="auto" w:after="20"/>
        <w:ind w:firstLine="283"/>
      </w:pPr>
      <w:r>
        <w:t>A. Has a general understanding of virtual assets.</w:t>
      </w:r>
    </w:p>
    <w:p>
      <w:pPr>
        <w:spacing w:line="360" w:lineRule="auto" w:after="20"/>
        <w:ind w:firstLine="283"/>
      </w:pPr>
      <w:r>
        <w:t>B. Consistently reviews transactions between fiat and virtual currencies.</w:t>
      </w:r>
    </w:p>
    <w:p>
      <w:pPr>
        <w:spacing w:line="360" w:lineRule="auto" w:after="20"/>
        <w:ind w:firstLine="283"/>
      </w:pPr>
      <w:r>
        <w:t>C. Implements enhanced KYC measures.</w:t>
      </w:r>
    </w:p>
    <w:p>
      <w:pPr>
        <w:spacing w:line="360" w:lineRule="auto" w:after="20"/>
        <w:ind w:firstLine="283"/>
      </w:pPr>
      <w:r>
        <w:t>D. Owns virtual currencies itself.</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向 VASP 提供服务时的交易监控与强化尽调义务</w:t>
      </w:r>
    </w:p>
    <w:p>
      <w:pPr>
        <w:spacing w:before="120" w:after="40"/>
      </w:pPr>
      <w:r>
        <w:rPr>
          <w:b/>
          <w:sz w:val="21"/>
          <w:shd w:fill="D6E4F0" w:val="clear"/>
        </w:rPr>
        <w:t>核心解析</w:t>
      </w:r>
    </w:p>
    <w:p>
      <w:pPr>
        <w:spacing w:line="360" w:lineRule="auto" w:after="40"/>
        <w:ind w:firstLine="420"/>
      </w:pPr>
      <w:r>
        <w:t>教材指出，加密资产与法币的兑换点在缺乏适当控制时极易被洗钱利用，客户尽职调查和交易监控有助于识别可疑活动</w:t>
      </w:r>
      <w:r>
        <w:rPr>
          <w:sz w:val="15"/>
          <w:vertAlign w:val="superscript"/>
        </w:rPr>
        <w:t>P111</w:t>
      </w:r>
      <w:r>
        <w:t>。同时，数字资产交易筛查的重点是识别高风险第三方，尤其是那些在监管框架之外运营的 VASP</w:t>
      </w:r>
      <w:r>
        <w:rPr>
          <w:sz w:val="15"/>
          <w:vertAlign w:val="superscript"/>
        </w:rPr>
        <w:t>P434</w:t>
      </w:r>
      <w:r>
        <w:t>。对于此类高风险关系，金融机构应实施反洗钱/反恐怖融资计划，并对相关业务关系及交易采取强化尽职调查措施</w:t>
      </w:r>
      <w:r>
        <w:rPr>
          <w:sz w:val="15"/>
          <w:vertAlign w:val="superscript"/>
        </w:rPr>
        <w:t>P148</w:t>
      </w:r>
      <w:r>
        <w:t>。因此，当金融机构考虑向 VASP 提供传统银行服务时，最需要落实的是持续审查法币与虚拟货币之间的交易（B），以及实施强化的 KYC 措施（C）。</w:t>
      </w:r>
    </w:p>
    <w:p>
      <w:pPr>
        <w:spacing w:before="120" w:after="40"/>
      </w:pPr>
      <w:r>
        <w:rPr>
          <w:b/>
          <w:sz w:val="21"/>
          <w:shd w:fill="D6E4F0" w:val="clear"/>
        </w:rPr>
        <w:t>教材原句</w:t>
      </w:r>
    </w:p>
    <w:p>
      <w:pPr>
        <w:spacing w:line="360" w:lineRule="auto" w:after="40"/>
        <w:ind w:firstLine="420"/>
      </w:pPr>
      <w:r>
        <w:t>"Without proper controls, the conversion point between cryptoassets and fiat is particularly vulnerable to money laundering, but CDD checks and monitoring can help identify suspicious activities."</w:t>
      </w:r>
    </w:p>
    <w:p>
      <w:pPr>
        <w:spacing w:before="120" w:after="40"/>
      </w:pPr>
      <w:r>
        <w:rPr>
          <w:b/>
          <w:sz w:val="21"/>
          <w:shd w:fill="D6E4F0" w:val="clear"/>
        </w:rPr>
        <w:t>A项错误</w:t>
      </w:r>
    </w:p>
    <w:p>
      <w:pPr>
        <w:spacing w:line="360" w:lineRule="auto" w:after="40"/>
        <w:ind w:firstLine="420"/>
      </w:pPr>
      <w:r>
        <w:t>仅对虚拟资产有大致的了解属于基础认知，远不如主动监控交易和强化客户身份识别这些具体的风险控制措施更直接匹配教材强调的薄弱环节管控。</w:t>
      </w:r>
    </w:p>
    <w:p>
      <w:pPr>
        <w:spacing w:before="120" w:after="40"/>
      </w:pPr>
      <w:r>
        <w:rPr>
          <w:b/>
          <w:sz w:val="21"/>
          <w:shd w:fill="D6E4F0" w:val="clear"/>
        </w:rPr>
        <w:t>D项错误</w:t>
      </w:r>
    </w:p>
    <w:p>
      <w:pPr>
        <w:spacing w:line="360" w:lineRule="auto" w:after="40"/>
        <w:ind w:firstLine="420"/>
      </w:pPr>
      <w:r>
        <w:t>题干关注的是金融机构在建立业务关系时应进行的风险管控行为，而非金融机构自身是否持有虚拟货币。选项 D 所涉要素与题干无直接逻辑关联。</w:t>
      </w:r>
    </w:p>
    <w:p>
      <w:pPr>
        <w:spacing w:before="120" w:after="40"/>
      </w:pPr>
      <w:r>
        <w:rPr>
          <w:b/>
          <w:sz w:val="21"/>
          <w:shd w:fill="D6E4F0" w:val="clear"/>
        </w:rPr>
        <w:t>易错提醒</w:t>
      </w:r>
    </w:p>
    <w:p>
      <w:pPr>
        <w:spacing w:line="360" w:lineRule="auto" w:after="40"/>
        <w:ind w:firstLine="420"/>
      </w:pPr>
      <w:r>
        <w:t>了解虚拟资产是基础，但教材强调的合规义务是主动的监控与强化尽调，而不停留在一般认知层面。</w:t>
      </w:r>
    </w:p>
    <w:p>
      <w:pPr>
        <w:spacing w:line="360" w:lineRule="auto" w:after="120"/>
      </w:pPr>
      <w:r/>
    </w:p>
    <w:p>
      <w:pPr>
        <w:spacing w:line="360" w:lineRule="auto" w:after="40"/>
      </w:pPr>
      <w:r>
        <w:t>4. Which of the following entities may pose higher money laundering risk and require additional review prior to onboarding? (Select Two.) ( )</w:t>
      </w:r>
    </w:p>
    <w:p>
      <w:pPr>
        <w:spacing w:line="360" w:lineRule="auto" w:after="20"/>
        <w:ind w:firstLine="283"/>
      </w:pPr>
      <w:r>
        <w:t>A. A large multinational corporation with extensive, documented wire transfer activity.</w:t>
      </w:r>
    </w:p>
    <w:p>
      <w:pPr>
        <w:spacing w:line="360" w:lineRule="auto" w:after="20"/>
        <w:ind w:firstLine="283"/>
      </w:pPr>
      <w:r>
        <w:t>B. A local convenience store that replenishes the on-site automated teller machine (ATM) with cash from its till.</w:t>
      </w:r>
    </w:p>
    <w:p>
      <w:pPr>
        <w:spacing w:line="360" w:lineRule="auto" w:after="20"/>
        <w:ind w:firstLine="283"/>
      </w:pPr>
      <w:r>
        <w:t>C. A local used car sales lot that allows individuals to pay their monthly bill in cash.</w:t>
      </w:r>
    </w:p>
    <w:p>
      <w:pPr>
        <w:spacing w:line="360" w:lineRule="auto" w:after="20"/>
        <w:ind w:firstLine="283"/>
      </w:pPr>
      <w:r>
        <w:t>D. A virtual asset service provider (VASP) facilitating peer-to-peer cryptocurrency transactions.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识别现金密集型行业与虚拟资产服务提供者的固有洗钱高风险特征</w:t>
      </w:r>
    </w:p>
    <w:p>
      <w:pPr>
        <w:spacing w:before="120" w:after="40"/>
      </w:pPr>
      <w:r>
        <w:rPr>
          <w:b/>
          <w:sz w:val="21"/>
          <w:shd w:fill="D6E4F0" w:val="clear"/>
        </w:rPr>
        <w:t>核心解析</w:t>
      </w:r>
    </w:p>
    <w:p>
      <w:pPr>
        <w:spacing w:line="360" w:lineRule="auto" w:after="40"/>
        <w:ind w:firstLine="420"/>
      </w:pPr>
      <w:r>
        <w:t>教材将汽车经销商等列为现金密集型行业，指出其大额现金交易可能掩盖非法资金流动</w:t>
      </w:r>
      <w:r>
        <w:rPr>
          <w:sz w:val="15"/>
          <w:vertAlign w:val="superscript"/>
        </w:rPr>
        <w:t>P65</w:t>
      </w:r>
      <w:r>
        <w:t>；虚拟资产服务提供者（VASP）因加密货币交易的假名性和部分实体运行于监管框架外，被要求在开户前进行额外筛查</w:t>
      </w:r>
      <w:r>
        <w:rPr>
          <w:sz w:val="15"/>
          <w:vertAlign w:val="superscript"/>
        </w:rPr>
        <w:t>P108、P434</w:t>
      </w:r>
      <w:r>
        <w:t>。题干中，二手车销售店允许个人用现金支付月付，具备现金密集型行业和前台企业特征，非法资金易混入合法现金流；VASP 为点对点加密货币交易提供便利，直接涉及高风险业务。由此可推断，这两类实体在教材框架下更符合需要额外审查的高风险客户类型。</w:t>
      </w:r>
    </w:p>
    <w:p>
      <w:pPr>
        <w:spacing w:before="120" w:after="40"/>
      </w:pPr>
      <w:r>
        <w:rPr>
          <w:b/>
          <w:sz w:val="21"/>
          <w:shd w:fill="D6E4F0" w:val="clear"/>
        </w:rPr>
        <w:t>教材原句</w:t>
      </w:r>
    </w:p>
    <w:p>
      <w:pPr>
        <w:spacing w:line="360" w:lineRule="auto" w:after="40"/>
        <w:ind w:firstLine="420"/>
      </w:pPr>
      <w:r>
        <w:t>"VASPs include cryptocurrency exchanges, wallet providers, and other entities. They facilitate activities involving virtual assets, such as transactions with cryptocurrency, and are subject to strict regulations in many jurisdictions."</w:t>
      </w:r>
    </w:p>
    <w:p>
      <w:pPr>
        <w:spacing w:before="120" w:after="40"/>
      </w:pPr>
      <w:r>
        <w:rPr>
          <w:b/>
          <w:sz w:val="21"/>
          <w:shd w:fill="D6E4F0" w:val="clear"/>
        </w:rPr>
        <w:t>A项错误</w:t>
      </w:r>
    </w:p>
    <w:p>
      <w:pPr>
        <w:spacing w:line="360" w:lineRule="auto" w:after="40"/>
        <w:ind w:firstLine="420"/>
      </w:pPr>
      <w:r>
        <w:t>教材指出电汇可用于向犯罪分子转移资金，具有一定风险</w:t>
      </w:r>
      <w:r>
        <w:rPr>
          <w:sz w:val="15"/>
          <w:vertAlign w:val="superscript"/>
        </w:rPr>
        <w:t>P78</w:t>
      </w:r>
      <w:r>
        <w:t>，但大型跨国公司具备大量有记录的电汇业务，透明度较高，教材并未将其单独归为需要额外审查的高风险实体类型；相比之下，C 和 D 所述实体的固有业务模式更容易被利用于洗钱。</w:t>
      </w:r>
    </w:p>
    <w:p>
      <w:pPr>
        <w:spacing w:before="120" w:after="40"/>
      </w:pPr>
      <w:r>
        <w:rPr>
          <w:b/>
          <w:sz w:val="21"/>
          <w:shd w:fill="D6E4F0" w:val="clear"/>
        </w:rPr>
        <w:t>B项错误</w:t>
      </w:r>
    </w:p>
    <w:p>
      <w:pPr>
        <w:spacing w:line="360" w:lineRule="auto" w:after="40"/>
        <w:ind w:firstLine="420"/>
      </w:pPr>
      <w:r>
        <w:t>便利店属于教材提及的现金密集型行业，但其从收银机取现为自有ATM补钞是正常商业操作；教材在客户分群场景中举例说明，这类高现金业务的频繁现金存款本身是预期行为</w:t>
      </w:r>
      <w:r>
        <w:rPr>
          <w:sz w:val="15"/>
          <w:vertAlign w:val="superscript"/>
        </w:rPr>
        <w:t>P436</w:t>
      </w:r>
      <w:r>
        <w:t>，并不直接构成高风险信号。相较于二手车行允许现金支付大额账单或VASP的匿名交易，B 项行为的洗钱风险匹配度较低。</w:t>
      </w:r>
    </w:p>
    <w:p>
      <w:pPr>
        <w:spacing w:before="120" w:after="40"/>
      </w:pPr>
      <w:r>
        <w:rPr>
          <w:b/>
          <w:sz w:val="21"/>
          <w:shd w:fill="D6E4F0" w:val="clear"/>
        </w:rPr>
        <w:t>易错提醒</w:t>
      </w:r>
    </w:p>
    <w:p>
      <w:pPr>
        <w:spacing w:line="360" w:lineRule="auto" w:after="40"/>
        <w:ind w:firstLine="420"/>
      </w:pPr>
      <w:r>
        <w:t>现金密集型行业的日常现金处理属于预期行为，只有交易与客户业务画像不符（如金额、频率异常、来源不明）时才作为高风险指标</w:t>
      </w:r>
      <w:r>
        <w:rPr>
          <w:sz w:val="15"/>
          <w:vertAlign w:val="superscript"/>
        </w:rPr>
        <w:t>P443</w:t>
      </w:r>
      <w:r>
        <w:t>。并非所有高现金企业均需在开户时额外审查。</w:t>
      </w:r>
    </w:p>
    <w:p>
      <w:pPr>
        <w:spacing w:line="360" w:lineRule="auto" w:after="120"/>
      </w:pPr>
      <w:r/>
    </w:p>
    <w:p>
      <w:pPr>
        <w:spacing w:line="360" w:lineRule="auto" w:after="40"/>
      </w:pPr>
      <w:r>
        <w:t>5. Common risks associated with cryptocurrency and convertible virtual currencies include: (Choose Three.) ( )</w:t>
      </w:r>
    </w:p>
    <w:p>
      <w:pPr>
        <w:spacing w:line="360" w:lineRule="auto" w:after="20"/>
        <w:ind w:firstLine="283"/>
      </w:pPr>
      <w:r>
        <w:t>A. Funds being stolen from other users</w:t>
      </w:r>
    </w:p>
    <w:p>
      <w:pPr>
        <w:spacing w:line="360" w:lineRule="auto" w:after="20"/>
        <w:ind w:firstLine="283"/>
      </w:pPr>
      <w:r>
        <w:t>B. Layering transactions to hide the origin of funds derived from illicit activity</w:t>
      </w:r>
    </w:p>
    <w:p>
      <w:pPr>
        <w:spacing w:line="360" w:lineRule="auto" w:after="20"/>
        <w:ind w:firstLine="283"/>
      </w:pPr>
      <w:r>
        <w:t>C. Anonymity obscuring the source of illicit funds and making transactions difficult to trace</w:t>
      </w:r>
    </w:p>
    <w:p>
      <w:pPr>
        <w:spacing w:line="360" w:lineRule="auto" w:after="20"/>
        <w:ind w:firstLine="283"/>
      </w:pPr>
      <w:r>
        <w:t>D. Difficulty converting into physical currency</w:t>
      </w:r>
    </w:p>
    <w:p>
      <w:pPr>
        <w:spacing w:line="360" w:lineRule="auto" w:after="20"/>
        <w:ind w:firstLine="283"/>
      </w:pPr>
      <w:r>
        <w:t>E. Facilitating payments for other illicit activities and goods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加密货币与可兑换虚拟货币的常见反洗钱风险类型</w:t>
      </w:r>
    </w:p>
    <w:p>
      <w:pPr>
        <w:spacing w:before="120" w:after="40"/>
      </w:pPr>
      <w:r>
        <w:rPr>
          <w:b/>
          <w:sz w:val="21"/>
          <w:shd w:fill="D6E4F0" w:val="clear"/>
        </w:rPr>
        <w:t>核心解析</w:t>
      </w:r>
    </w:p>
    <w:p>
      <w:pPr>
        <w:spacing w:line="360" w:lineRule="auto" w:after="40"/>
        <w:ind w:firstLine="420"/>
      </w:pPr>
      <w:r>
        <w:t>教材指出，加密货币可通过不受监管的金融科技平台、加密货币和点对点支付网络进行资金分层，以掩盖非法资金来源</w:t>
      </w:r>
      <w:r>
        <w:rPr>
          <w:sz w:val="15"/>
          <w:vertAlign w:val="superscript"/>
        </w:rPr>
        <w:t>P39</w:t>
      </w:r>
      <w:r>
        <w:t>——这正是选项B描述的情形。同时，区块链虽有内在透明性，但追踪所有权仍然困难；某些隐私币利用非公开区块链进行匿名转账，使非法资金来源更难追溯</w:t>
      </w:r>
      <w:r>
        <w:rPr>
          <w:sz w:val="15"/>
          <w:vertAlign w:val="superscript"/>
        </w:rPr>
        <w:t>P111</w:t>
      </w:r>
      <w:r>
        <w:t>，这与选项C“匿名性掩盖非法资金来源并使交易难以追踪”吻合。此外，加密资产本身可能便利犯罪活动，吸引利用系统漏洞的个人</w:t>
      </w:r>
      <w:r>
        <w:rPr>
          <w:sz w:val="15"/>
          <w:vertAlign w:val="superscript"/>
        </w:rPr>
        <w:t>P111</w:t>
      </w:r>
      <w:r>
        <w:t>，直接对应选项E“为其他非法活动和商品的支付提供便利”。三者均属于教材明示的加密货币相关洗钱风险。</w:t>
      </w:r>
    </w:p>
    <w:p>
      <w:pPr>
        <w:spacing w:before="120" w:after="40"/>
      </w:pPr>
      <w:r>
        <w:rPr>
          <w:b/>
          <w:sz w:val="21"/>
          <w:shd w:fill="D6E4F0" w:val="clear"/>
        </w:rPr>
        <w:t>A项错误</w:t>
      </w:r>
    </w:p>
    <w:p>
      <w:pPr>
        <w:spacing w:line="360" w:lineRule="auto" w:after="40"/>
        <w:ind w:firstLine="420"/>
      </w:pPr>
      <w:r>
        <w:t>教材在讨论金融机构面临的金融犯罪风险时提及网络安全风险，如勒索软件和深度伪造欺诈</w:t>
      </w:r>
      <w:r>
        <w:rPr>
          <w:sz w:val="15"/>
          <w:vertAlign w:val="superscript"/>
        </w:rPr>
        <w:t>P46</w:t>
      </w:r>
      <w:r>
        <w:t>，但题干问的是加密货币作为工具本身带来的常见风险，而非用户间资金被盗的操作风险。在教材框架下，选项B、C、E更直接属于加密货币特有的洗钱风险类型。</w:t>
      </w:r>
    </w:p>
    <w:p>
      <w:pPr>
        <w:spacing w:before="120" w:after="40"/>
      </w:pPr>
      <w:r>
        <w:rPr>
          <w:b/>
          <w:sz w:val="21"/>
          <w:shd w:fill="D6E4F0" w:val="clear"/>
        </w:rPr>
        <w:t>D项错误</w:t>
      </w:r>
    </w:p>
    <w:p>
      <w:pPr>
        <w:spacing w:line="360" w:lineRule="auto" w:after="40"/>
        <w:ind w:firstLine="420"/>
      </w:pPr>
      <w:r>
        <w:t>教材提到加密货币ATM允许用户在物理位置兑换加密货币与法币</w:t>
      </w:r>
      <w:r>
        <w:rPr>
          <w:sz w:val="15"/>
          <w:vertAlign w:val="superscript"/>
        </w:rPr>
        <w:t>P109</w:t>
      </w:r>
      <w:r>
        <w:t>，且VASP这类第三方提供商可协助兑换法币</w:t>
      </w:r>
      <w:r>
        <w:rPr>
          <w:sz w:val="15"/>
          <w:vertAlign w:val="superscript"/>
        </w:rPr>
        <w:t>P111</w:t>
      </w:r>
      <w:r>
        <w:t>，并未将“转换实体货币困难”列为风险。相反，兑换点被列为易被洗钱利用的环节</w:t>
      </w:r>
      <w:r>
        <w:rPr>
          <w:sz w:val="15"/>
          <w:vertAlign w:val="superscript"/>
        </w:rPr>
        <w:t>P111</w:t>
      </w:r>
      <w:r>
        <w:t>，可见D与教材事实不一致，不如B、C、E匹配题干所问的风险范畴。</w:t>
      </w:r>
    </w:p>
    <w:p>
      <w:pPr>
        <w:spacing w:before="120" w:after="40"/>
      </w:pPr>
      <w:r>
        <w:rPr>
          <w:b/>
          <w:sz w:val="21"/>
          <w:shd w:fill="D6E4F0" w:val="clear"/>
        </w:rPr>
        <w:t>易错提醒</w:t>
      </w:r>
    </w:p>
    <w:p>
      <w:pPr>
        <w:spacing w:line="360" w:lineRule="auto" w:after="40"/>
        <w:ind w:firstLine="420"/>
      </w:pPr>
      <w:r>
        <w:t>有人可能将选项C的“匿名性”误解为加密货币完全无法追踪。教材的逻辑是：区块链本身透明，但追踪所有权仍具挑战性，且隐私币刻意利用非公开区块链来增强匿名性</w:t>
      </w:r>
      <w:r>
        <w:rPr>
          <w:sz w:val="15"/>
          <w:vertAlign w:val="superscript"/>
        </w:rPr>
        <w:t>P111</w:t>
      </w:r>
      <w:r>
        <w:t>。换句话说，“透明”与“难以追踪”在教材中并不矛盾——前者指账本公开可查，后者指真实所有者难以归因。</w:t>
      </w:r>
    </w:p>
    <w:p>
      <w:pPr>
        <w:spacing w:line="360" w:lineRule="auto" w:after="120"/>
      </w:pPr>
      <w:r/>
    </w:p>
    <w:p>
      <w:pPr>
        <w:spacing w:line="360" w:lineRule="auto" w:after="40"/>
      </w:pPr>
      <w:r>
        <w:t>6. Common risks associated with cryptocurrency and convertible virtual currencies include: (Select three.) ( )</w:t>
      </w:r>
    </w:p>
    <w:p>
      <w:pPr>
        <w:spacing w:line="360" w:lineRule="auto" w:after="20"/>
        <w:ind w:firstLine="283"/>
      </w:pPr>
      <w:r>
        <w:t>A. Funds being stolen from other users</w:t>
      </w:r>
    </w:p>
    <w:p>
      <w:pPr>
        <w:spacing w:line="360" w:lineRule="auto" w:after="20"/>
        <w:ind w:firstLine="283"/>
      </w:pPr>
      <w:r>
        <w:t>B. Difficulty converting into physical currency</w:t>
      </w:r>
    </w:p>
    <w:p>
      <w:pPr>
        <w:spacing w:line="360" w:lineRule="auto" w:after="20"/>
        <w:ind w:firstLine="283"/>
      </w:pPr>
      <w:r>
        <w:t>C. Obscuring the source of illicit funds</w:t>
      </w:r>
    </w:p>
    <w:p>
      <w:pPr>
        <w:spacing w:line="360" w:lineRule="auto" w:after="20"/>
        <w:ind w:firstLine="283"/>
      </w:pPr>
      <w:r>
        <w:t>D. Facilitating payment for other illicit activities and goods</w:t>
      </w:r>
    </w:p>
    <w:p>
      <w:pPr>
        <w:spacing w:line="360" w:lineRule="auto" w:after="20"/>
        <w:ind w:firstLine="283"/>
      </w:pPr>
      <w:r>
        <w:t>E. Layering transactions to hide the origin of funds derived from illicit activity</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识别加密货币与虚拟货币的洗钱风险特征</w:t>
      </w:r>
    </w:p>
    <w:p>
      <w:pPr>
        <w:spacing w:before="120" w:after="40"/>
      </w:pPr>
      <w:r>
        <w:rPr>
          <w:b/>
          <w:sz w:val="21"/>
          <w:shd w:fill="D6E4F0" w:val="clear"/>
        </w:rPr>
        <w:t>核心解析</w:t>
      </w:r>
    </w:p>
    <w:p>
      <w:pPr>
        <w:spacing w:line="360" w:lineRule="auto" w:after="40"/>
        <w:ind w:firstLine="420"/>
      </w:pPr>
      <w:r>
        <w:t>加密货币和可兑换虚拟货币因其假名性、跨境可达性和监管缺失，为洗钱和恐怖融资创造了新机会</w:t>
      </w:r>
      <w:r>
        <w:rPr>
          <w:sz w:val="15"/>
          <w:vertAlign w:val="superscript"/>
        </w:rPr>
        <w:t>P112</w:t>
      </w:r>
      <w:r>
        <w:t>。这些风险的核心在于：犯罪分子可利用去中心化交易所等掩盖非法资金来源</w:t>
      </w:r>
      <w:r>
        <w:rPr>
          <w:sz w:val="15"/>
          <w:vertAlign w:val="superscript"/>
        </w:rPr>
        <w:t>P112</w:t>
      </w:r>
      <w:r>
        <w:t>；加密资产本身能便利其他非法活动和商品的支付</w:t>
      </w:r>
      <w:r>
        <w:rPr>
          <w:sz w:val="15"/>
          <w:vertAlign w:val="superscript"/>
        </w:rPr>
        <w:t>P111</w:t>
      </w:r>
      <w:r>
        <w:t>；同时，通过加密货币和点对点支付网络进行资金分层，可使源自非法活动的资金踪迹难以追踪</w:t>
      </w:r>
      <w:r>
        <w:rPr>
          <w:sz w:val="15"/>
          <w:vertAlign w:val="superscript"/>
        </w:rPr>
        <w:t>P39</w:t>
      </w:r>
      <w:r>
        <w:t>。因此，掩盖非法资金来源（C）、为其他非法活动与商品支付提供便利（D）、以及通过分层交易隐藏非法资金源头（E），均属于教材所界定的常见风险。</w:t>
      </w:r>
    </w:p>
    <w:p>
      <w:pPr>
        <w:spacing w:before="120" w:after="40"/>
      </w:pPr>
      <w:r>
        <w:rPr>
          <w:b/>
          <w:sz w:val="21"/>
          <w:shd w:fill="D6E4F0" w:val="clear"/>
        </w:rPr>
        <w:t>教材原句</w:t>
      </w:r>
    </w:p>
    <w:p>
      <w:pPr>
        <w:spacing w:line="360" w:lineRule="auto" w:after="40"/>
        <w:ind w:firstLine="420"/>
      </w:pPr>
      <w:r>
        <w:t>"they create new opportunities for money laundering and terrorist financing due to their pseudonymity, cross-border reach, and lack of regulatory oversight."</w:t>
      </w:r>
    </w:p>
    <w:p>
      <w:pPr>
        <w:spacing w:before="120" w:after="40"/>
      </w:pPr>
      <w:r>
        <w:rPr>
          <w:b/>
          <w:sz w:val="21"/>
          <w:shd w:fill="D6E4F0" w:val="clear"/>
        </w:rPr>
        <w:t>A项错误</w:t>
      </w:r>
    </w:p>
    <w:p>
      <w:pPr>
        <w:spacing w:line="360" w:lineRule="auto" w:after="40"/>
        <w:ind w:firstLine="420"/>
      </w:pPr>
      <w:r>
        <w:t>选项A“从其他用户处窃取资金”属于盗窃行为，而非教材所讨论的加密资产洗钱风险。教材聚焦于利用加密资产隐蔽和转移非法资金的活动，未将用户间资金窃取列为加密资产的固有风险，因此匹配度不如正确项。</w:t>
      </w:r>
    </w:p>
    <w:p>
      <w:pPr>
        <w:spacing w:before="120" w:after="40"/>
      </w:pPr>
      <w:r>
        <w:rPr>
          <w:b/>
          <w:sz w:val="21"/>
          <w:shd w:fill="D6E4F0" w:val="clear"/>
        </w:rPr>
        <w:t>B项错误</w:t>
      </w:r>
    </w:p>
    <w:p>
      <w:pPr>
        <w:spacing w:line="360" w:lineRule="auto" w:after="40"/>
        <w:ind w:firstLine="420"/>
      </w:pPr>
      <w:r>
        <w:t>选项B“难以兑换成实体货币”与教材描述不符。教材指出加密资产通常可通过VASP等第三方提供商协助兑换成法币</w:t>
      </w:r>
      <w:r>
        <w:rPr>
          <w:sz w:val="15"/>
          <w:vertAlign w:val="superscript"/>
        </w:rPr>
        <w:t>P111</w:t>
      </w:r>
      <w:r>
        <w:t>，兑换环节正是洗钱风险所在，而非兑换困难。相比之下，正确项更直接反映了加密货币被用于非法资金转移和隐蔽的真实风险。</w:t>
      </w:r>
    </w:p>
    <w:p>
      <w:pPr>
        <w:spacing w:before="120" w:after="40"/>
      </w:pPr>
      <w:r>
        <w:rPr>
          <w:b/>
          <w:sz w:val="21"/>
          <w:shd w:fill="D6E4F0" w:val="clear"/>
        </w:rPr>
        <w:t>易错提醒</w:t>
      </w:r>
    </w:p>
    <w:p>
      <w:pPr>
        <w:spacing w:line="360" w:lineRule="auto" w:after="40"/>
        <w:ind w:firstLine="420"/>
      </w:pPr>
      <w:r>
        <w:t>需要注意区分加密资产的洗钱风险与一般网络安全风险。教材关注的不是资产本身被盗，而是犯罪分子利用加密资产的匿名性、跨境流动性和监管缺失来掩盖或转移非法资金。题目问的是“常见风险”，应聚焦于洗钱和非法资金流动这一核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