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(EN)</w:t>
      </w:r>
    </w:p>
    <w:p>
      <w:pPr>
        <w:spacing w:line="360" w:lineRule="auto" w:after="160"/>
      </w:pPr>
      <w:r>
        <w:t>一、单项选择题</w:t>
      </w:r>
    </w:p>
    <w:p>
      <w:pPr>
        <w:spacing w:line="360" w:lineRule="auto" w:after="40"/>
      </w:pPr>
      <w:r>
        <w:t>1. A customer frequently deposits large amounts of cash into an online gambling account and requests withdrawals shortly after with minimal gambling activity. What is the most likely money laundering risk associated with this behavior in the gambling and gaming industry? ( )</w:t>
      </w:r>
    </w:p>
    <w:p>
      <w:pPr>
        <w:spacing w:line="360" w:lineRule="auto" w:after="20"/>
        <w:ind w:firstLine="283"/>
      </w:pPr>
      <w:r>
        <w:t>A. The customer is attempting to convert illicit funds into clean withdrawals</w:t>
      </w:r>
    </w:p>
    <w:p>
      <w:pPr>
        <w:spacing w:line="360" w:lineRule="auto" w:after="20"/>
        <w:ind w:firstLine="283"/>
      </w:pPr>
      <w:r>
        <w:t>B. The customer is attempting to avoid high fees by minimizing gambling activity</w:t>
      </w:r>
    </w:p>
    <w:p>
      <w:pPr>
        <w:spacing w:line="360" w:lineRule="auto" w:after="20"/>
        <w:ind w:firstLine="283"/>
      </w:pPr>
      <w:r>
        <w:t>C. The customer is testing the gaming platform's payout system for potential fraud</w:t>
      </w:r>
    </w:p>
    <w:p>
      <w:pPr>
        <w:spacing w:line="360" w:lineRule="auto" w:after="20"/>
        <w:ind w:firstLine="283"/>
      </w:pPr>
      <w:r>
        <w:t>D. The customer is a high-risk gambler who regularly places large bets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识别博彩场景中以极少赌博活动清洗非法资金的筹码转换风险</w:t>
      </w:r>
    </w:p>
    <w:p>
      <w:pPr>
        <w:spacing w:before="120" w:after="40"/>
      </w:pPr>
      <w:r>
        <w:rPr>
          <w:b/>
          <w:sz w:val="21"/>
          <w:shd w:fill="D6E4F0" w:val="clear"/>
        </w:rPr>
        <w:t>核心解析</w:t>
      </w:r>
    </w:p>
    <w:p>
      <w:pPr>
        <w:spacing w:line="360" w:lineRule="auto" w:after="40"/>
        <w:ind w:firstLine="420"/>
      </w:pPr>
      <w:r>
        <w:t>博彩业面临的一种典型洗钱手法是，犯罪分子用非法资金匿名购买筹码，仅进行极少赌博活动，便兑换筹码套现，从而将非法资金“洗白”为看似合法的取款</w:t>
      </w:r>
      <w:r>
        <w:rPr>
          <w:sz w:val="15"/>
          <w:vertAlign w:val="superscript"/>
        </w:rPr>
        <w:t>P120</w:t>
      </w:r>
      <w:r>
        <w:t>。题干中客户的行为——“经常向网络赌博账户存入大笔现金”“存入不久后就提出取款请求”“赌博活动极少”——完全吻合上述描述。这一模式的核心风险并非逃避费用、系统测试或个人博彩习惯，而是利用极少量博彩活动作为掩护，实现资金性质的转换。教材在描述该风险时，直接使用的用语是“将非法资金转换为筹码，进行极少赌博，然后兑现”</w:t>
      </w:r>
      <w:r>
        <w:rPr>
          <w:sz w:val="15"/>
          <w:vertAlign w:val="superscript"/>
        </w:rPr>
        <w:t>P120</w:t>
      </w:r>
      <w:r>
        <w:t>，这与选项 A“试图将非法资金转换为合法的取款”在内涵上高度一致。</w:t>
      </w:r>
    </w:p>
    <w:p>
      <w:pPr>
        <w:spacing w:before="120" w:after="40"/>
      </w:pPr>
      <w:r>
        <w:rPr>
          <w:b/>
          <w:sz w:val="21"/>
          <w:shd w:fill="D6E4F0" w:val="clear"/>
        </w:rPr>
        <w:t>教材原句</w:t>
      </w:r>
    </w:p>
    <w:p>
      <w:pPr>
        <w:spacing w:line="360" w:lineRule="auto" w:after="40"/>
        <w:ind w:firstLine="420"/>
      </w:pPr>
      <w:r>
        <w:t>"both casinos and online operators are vulnerable to many forms of money laundering, such as customers converting illicit funds into chips, engaging in minimal play, and using falsified documents to open multiple accounts."</w:t>
      </w:r>
    </w:p>
    <w:p>
      <w:pPr>
        <w:spacing w:before="120" w:after="40"/>
      </w:pPr>
      <w:r>
        <w:rPr>
          <w:b/>
          <w:sz w:val="21"/>
          <w:shd w:fill="D6E4F0" w:val="clear"/>
        </w:rPr>
        <w:t>B项错误</w:t>
      </w:r>
    </w:p>
    <w:p>
      <w:pPr>
        <w:spacing w:line="360" w:lineRule="auto" w:after="40"/>
        <w:ind w:firstLine="420"/>
      </w:pPr>
      <w:r>
        <w:t>选项提及“减少赌博活动”，表面看与题干“赌博活动极少”在字面上有交集，但教材在讨论博彩业特定洗钱风险时，是将“极少赌博活动”作为洗钱手法的一环来定义</w:t>
      </w:r>
      <w:r>
        <w:rPr>
          <w:sz w:val="15"/>
          <w:vertAlign w:val="superscript"/>
        </w:rPr>
        <w:t>P120</w:t>
      </w:r>
      <w:r>
        <w:t>，而非出于费用考量的商业行为。题干并未提及任何与费用相关的信息，相比之下，正确项更直接地对接了教材对博彩洗钱手法的专门定义。</w:t>
      </w:r>
    </w:p>
    <w:p>
      <w:pPr>
        <w:spacing w:before="120" w:after="40"/>
      </w:pPr>
      <w:r>
        <w:rPr>
          <w:b/>
          <w:sz w:val="21"/>
          <w:shd w:fill="D6E4F0" w:val="clear"/>
        </w:rPr>
        <w:t>C项错误</w:t>
      </w:r>
    </w:p>
    <w:p>
      <w:pPr>
        <w:spacing w:line="360" w:lineRule="auto" w:after="40"/>
        <w:ind w:firstLine="420"/>
      </w:pPr>
      <w:r>
        <w:t>选项描述的是对平台系统进行技术性或欺诈性探测的行为。题干所提供的信息——“存入大笔现金”并“随后提出取款请求”——在教材框架下更吻合博彩业洗钱风险中“筹码转换、极少赌博、兑现”的完整链条</w:t>
      </w:r>
      <w:r>
        <w:rPr>
          <w:sz w:val="15"/>
          <w:vertAlign w:val="superscript"/>
        </w:rPr>
        <w:t>P120</w:t>
      </w:r>
      <w:r>
        <w:t>，而非对支付系统本身的安全测试。题干未提供任何倾向于“测试欺诈漏洞”的要素。</w:t>
      </w:r>
    </w:p>
    <w:p>
      <w:pPr>
        <w:spacing w:before="120" w:after="40"/>
      </w:pPr>
      <w:r>
        <w:rPr>
          <w:b/>
          <w:sz w:val="21"/>
          <w:shd w:fill="D6E4F0" w:val="clear"/>
        </w:rPr>
        <w:t>D项错误</w:t>
      </w:r>
    </w:p>
    <w:p>
      <w:pPr>
        <w:spacing w:line="360" w:lineRule="auto" w:after="40"/>
        <w:ind w:firstLine="420"/>
      </w:pPr>
      <w:r>
        <w:t>选项将客户描述为“经常下大注”的高风险赌徒，这与题干“赌博活动极少”的事实直接冲突。教材中描述的博彩洗钱模式恰恰是利用“极少赌博”（engaging in minimal play）作为掩护</w:t>
      </w:r>
      <w:r>
        <w:rPr>
          <w:sz w:val="15"/>
          <w:vertAlign w:val="superscript"/>
        </w:rPr>
        <w:t>P120</w:t>
      </w:r>
      <w:r>
        <w:t>，因此，在教材框架下，题干条件指向洗钱风险而非真实的博彩习惯。</w:t>
      </w:r>
    </w:p>
    <w:p>
      <w:pPr>
        <w:spacing w:before="120" w:after="40"/>
      </w:pPr>
      <w:r>
        <w:rPr>
          <w:b/>
          <w:sz w:val="21"/>
          <w:shd w:fill="D6E4F0" w:val="clear"/>
        </w:rPr>
        <w:t>易错提醒</w:t>
      </w:r>
    </w:p>
    <w:p>
      <w:pPr>
        <w:spacing w:line="360" w:lineRule="auto" w:after="40"/>
        <w:ind w:firstLine="420"/>
      </w:pPr>
      <w:r>
        <w:t>“极少赌博活动”在反洗钱语境下，不是出于费用或个人偏好的商业决策，而是将非法资金混入博彩系统时，刻意避免因真实博彩行为产生额外输赢、从而快速实现资金“清洗”的核心表征。若题干未出现“大笔现金”“存入不久后取款”等关键要素，单纯的“极少赌博”本身尚不足以直接锁定洗钱风险。</w:t>
      </w:r>
    </w:p>
    <w:p>
      <w:pPr>
        <w:spacing w:line="360" w:lineRule="auto" w:after="120"/>
      </w:pPr>
      <w:r/>
    </w:p>
    <w:p>
      <w:pPr>
        <w:spacing w:line="360" w:lineRule="auto" w:after="40"/>
      </w:pPr>
      <w:r>
        <w:t>2. The owner of a real estate investment company deposits multiple cashier's checks that were bought using cash over a three-month period from the sale of two apartments. This account also receives several electronic transfers from other financial institutions for US$10,000 each. What activity is considered suspicious of money laundering? ( )</w:t>
      </w:r>
    </w:p>
    <w:p>
      <w:pPr>
        <w:spacing w:line="360" w:lineRule="auto" w:after="20"/>
        <w:ind w:firstLine="283"/>
      </w:pPr>
      <w:r>
        <w:t>A. Receiving electronic transfers for US$10,000 amounts from other financial institutions</w:t>
      </w:r>
    </w:p>
    <w:p>
      <w:pPr>
        <w:spacing w:line="360" w:lineRule="auto" w:after="20"/>
        <w:ind w:firstLine="283"/>
      </w:pPr>
      <w:r>
        <w:t>B. Using cash to buy multiple cashier's checks over a period of time</w:t>
      </w:r>
    </w:p>
    <w:p>
      <w:pPr>
        <w:spacing w:line="360" w:lineRule="auto" w:after="20"/>
        <w:ind w:firstLine="283"/>
      </w:pPr>
      <w:r>
        <w:t>C. Performing operations with real estate investment companies</w:t>
      </w:r>
    </w:p>
    <w:p>
      <w:pPr>
        <w:spacing w:line="360" w:lineRule="auto" w:after="20"/>
        <w:ind w:firstLine="283"/>
      </w:pPr>
      <w:r>
        <w:t>D. Cashier's checks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房地产交易中以现金购买支付工具的可疑特征识别</w:t>
      </w:r>
    </w:p>
    <w:p>
      <w:pPr>
        <w:spacing w:before="120" w:after="40"/>
      </w:pPr>
      <w:r>
        <w:rPr>
          <w:b/>
          <w:sz w:val="21"/>
          <w:shd w:fill="D6E4F0" w:val="clear"/>
        </w:rPr>
        <w:t>核心解析</w:t>
      </w:r>
    </w:p>
    <w:p>
      <w:pPr>
        <w:spacing w:line="360" w:lineRule="auto" w:after="40"/>
        <w:ind w:firstLine="420"/>
      </w:pPr>
      <w:r>
        <w:t>现金交易因难以追踪而增加洗钱风险</w:t>
      </w:r>
      <w:r>
        <w:rPr>
          <w:sz w:val="15"/>
          <w:vertAlign w:val="superscript"/>
        </w:rPr>
        <w:t>P122</w:t>
      </w:r>
      <w:r>
        <w:t>，在房地产领域，全部或主要使用现金支付是一个红旗信号</w:t>
      </w:r>
      <w:r>
        <w:rPr>
          <w:sz w:val="15"/>
          <w:vertAlign w:val="superscript"/>
        </w:rPr>
        <w:t>P122</w:t>
      </w:r>
      <w:r>
        <w:t>，同时“大额现金购买缺乏明确资金来源”也构成可疑</w:t>
      </w:r>
      <w:r>
        <w:rPr>
          <w:sz w:val="15"/>
          <w:vertAlign w:val="superscript"/>
        </w:rPr>
        <w:t>P128</w:t>
      </w:r>
      <w:r>
        <w:t>。题干中，房地产投资公司所有者在三个月内多次用现金购买多张银行本票，虽然声称来自公寓销售，但这一行为将现金转化为支付工具，呈现出现金密集的可疑模式，直接吻合教材中的风险指示。相比之下，电子转账来自其他金融机构，有迹可循，现金的隐匿特征使得选项B的活动更直接地指向洗钱的可疑行为。</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电子转账通过金融机构完成，有清晰审计痕迹，风险程度远低于现金交易。题干仅述及“来自其他金融机构的几笔每笔1万美元的电子转账”，未显示规避报告阈值的行为，其可疑性不如用现金购买银行本票那样直接匹配教材对现金风险的红旗信号。</w:t>
      </w:r>
    </w:p>
    <w:p>
      <w:pPr>
        <w:spacing w:before="120" w:after="40"/>
      </w:pPr>
      <w:r>
        <w:rPr>
          <w:b/>
          <w:sz w:val="21"/>
          <w:shd w:fill="D6E4F0" w:val="clear"/>
        </w:rPr>
        <w:t>C项错误</w:t>
      </w:r>
    </w:p>
    <w:p>
      <w:pPr>
        <w:spacing w:line="360" w:lineRule="auto" w:after="40"/>
        <w:ind w:firstLine="420"/>
      </w:pPr>
      <w:r>
        <w:t>与房地产投资公司开展业务操作本身是合法商业行为，教材并未将公司主体身份直接视为可疑。题干未描述任何异常操作模式（如复杂所有权结构或缺乏经济理由的贷款），因此该选项较选项B缺乏与洗钱风险的直接关联。</w:t>
      </w:r>
    </w:p>
    <w:p>
      <w:pPr>
        <w:spacing w:before="120" w:after="40"/>
      </w:pPr>
      <w:r>
        <w:rPr>
          <w:b/>
          <w:sz w:val="21"/>
          <w:shd w:fill="D6E4F0" w:val="clear"/>
        </w:rPr>
        <w:t>D项错误</w:t>
      </w:r>
    </w:p>
    <w:p>
      <w:pPr>
        <w:spacing w:line="360" w:lineRule="auto" w:after="40"/>
        <w:ind w:firstLine="420"/>
      </w:pPr>
      <w:r>
        <w:t>银行本票是一种支付工具，教材中可疑的是利用现金购买此类工具的行为而非工具本身。选项D仅指称工具，未体现交易方式，与题干以现金多次购买的描述不匹配。</w:t>
      </w:r>
    </w:p>
    <w:p>
      <w:pPr>
        <w:spacing w:before="120" w:after="40"/>
      </w:pPr>
      <w:r>
        <w:rPr>
          <w:b/>
          <w:sz w:val="21"/>
          <w:shd w:fill="D6E4F0" w:val="clear"/>
        </w:rPr>
        <w:t>易错提醒</w:t>
      </w:r>
    </w:p>
    <w:p>
      <w:pPr>
        <w:spacing w:line="360" w:lineRule="auto" w:after="40"/>
        <w:ind w:firstLine="420"/>
      </w:pPr>
      <w:r>
        <w:t>现金购买银行本票容易被误判为“结构化”，但结构化指将现金存款刻意拆分为略低于报告门槛的金额（例如多次存入9900美元，P445）。题干未给出每张银行本票的具体金额，无法套用结构化判断。本题的可疑性根植于现金固有的难以追踪风险，而非结构化手法。</w:t>
      </w:r>
    </w:p>
    <w:p>
      <w:pPr>
        <w:spacing w:line="360" w:lineRule="auto" w:after="120"/>
      </w:pPr>
      <w:r/>
    </w:p>
    <w:p>
      <w:pPr>
        <w:spacing w:line="360" w:lineRule="auto" w:after="40"/>
      </w:pPr>
      <w:r>
        <w:t>3. A law firm is involved in setting up complex offshore corporate structures for a client with minimal documentation of the source of funds. The firm does not question the client's transactions or report any suspicious activity. What is the primary money laundering risk associated with this behavior by the law firm? ( )</w:t>
      </w:r>
    </w:p>
    <w:p>
      <w:pPr>
        <w:spacing w:line="360" w:lineRule="auto" w:after="20"/>
        <w:ind w:firstLine="283"/>
      </w:pPr>
      <w:r>
        <w:t>A. The law firm is avoiding fees by minimizing documentation for clients in high-risk jurisdictions</w:t>
      </w:r>
    </w:p>
    <w:p>
      <w:pPr>
        <w:spacing w:line="360" w:lineRule="auto" w:after="20"/>
        <w:ind w:firstLine="283"/>
      </w:pPr>
      <w:r>
        <w:t>B. The law firm is engaging in aggressive tax planning to help the client avoid legal taxes</w:t>
      </w:r>
    </w:p>
    <w:p>
      <w:pPr>
        <w:spacing w:line="360" w:lineRule="auto" w:after="20"/>
        <w:ind w:firstLine="283"/>
      </w:pPr>
      <w:r>
        <w:t>C. The law firm is providing routine legal services that include creating complex legal structures, and no further scrutiny is required</w:t>
      </w:r>
    </w:p>
    <w:p>
      <w:pPr>
        <w:spacing w:line="360" w:lineRule="auto" w:after="20"/>
        <w:ind w:firstLine="283"/>
      </w:pPr>
      <w:r>
        <w:t>D. The law firm is acting as a gatekeeper by facilitating the movement and concealment of illicit funds through complex corporate structures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识别律师事务所作为“守门人”所面临的洗钱风险</w:t>
      </w:r>
    </w:p>
    <w:p>
      <w:pPr>
        <w:spacing w:before="120" w:after="40"/>
      </w:pPr>
      <w:r>
        <w:rPr>
          <w:b/>
          <w:sz w:val="21"/>
          <w:shd w:fill="D6E4F0" w:val="clear"/>
        </w:rPr>
        <w:t>核心解析</w:t>
      </w:r>
    </w:p>
    <w:p>
      <w:pPr>
        <w:spacing w:line="360" w:lineRule="auto" w:after="40"/>
        <w:ind w:firstLine="420"/>
      </w:pPr>
      <w:r>
        <w:t>法律行业因律师在管理金融交易、提供法律建议及了解客户方面扮演关键角色，而面临显著的洗钱风险</w:t>
      </w:r>
      <w:r>
        <w:rPr>
          <w:sz w:val="15"/>
          <w:vertAlign w:val="superscript"/>
        </w:rPr>
        <w:t>P125</w:t>
      </w:r>
      <w:r>
        <w:t>。犯罪分子常利用法律专业人士的服务来隐藏非法资金、促成欺诈性交易或以掩盖资金来源的方式构建交易。教材进一步指出，律师可能协助设立如信托或壳公司等复杂结构，这些结构可隐藏真正受益人的身份</w:t>
      </w:r>
      <w:r>
        <w:rPr>
          <w:sz w:val="15"/>
          <w:vertAlign w:val="superscript"/>
        </w:rPr>
        <w:t>P119</w:t>
      </w:r>
      <w:r>
        <w:t>。题干中，律师事务所为客户设立复杂的离岸公司架构，对资金来源文件记录极少，且不质疑交易或报告可疑活动。这一行为模式直接吻合教材所描述的律师作为“守门人”被犯罪分子利用，通过复杂公司架构为非法资金的转移和隐匿提供便利的风险场景。</w:t>
      </w:r>
    </w:p>
    <w:p>
      <w:pPr>
        <w:spacing w:before="120" w:after="40"/>
      </w:pPr>
      <w:r>
        <w:rPr>
          <w:b/>
          <w:sz w:val="21"/>
          <w:shd w:fill="D6E4F0" w:val="clear"/>
        </w:rPr>
        <w:t>A项错误</w:t>
      </w:r>
    </w:p>
    <w:p>
      <w:pPr>
        <w:spacing w:line="360" w:lineRule="auto" w:after="40"/>
        <w:ind w:firstLine="420"/>
      </w:pPr>
      <w:r>
        <w:t>选项A将行为动机归结为“规避费用”，但题干并未提及律师事务所的收费行为或其与高风险司法管辖区客户之间的费用安排，缺乏支持这一判断的要素。相比之下，选项D更直接地指向了利用复杂结构隐藏非法资金这一洗钱风险的核心特征。</w:t>
      </w:r>
    </w:p>
    <w:p>
      <w:pPr>
        <w:spacing w:before="120" w:after="40"/>
      </w:pPr>
      <w:r>
        <w:rPr>
          <w:b/>
          <w:sz w:val="21"/>
          <w:shd w:fill="D6E4F0" w:val="clear"/>
        </w:rPr>
        <w:t>B项错误</w:t>
      </w:r>
    </w:p>
    <w:p>
      <w:pPr>
        <w:spacing w:line="360" w:lineRule="auto" w:after="40"/>
        <w:ind w:firstLine="420"/>
      </w:pPr>
      <w:r>
        <w:t>教材定义避税（Tax avoidance）是合法减少税负的行为</w:t>
      </w:r>
      <w:r>
        <w:rPr>
          <w:sz w:val="15"/>
          <w:vertAlign w:val="superscript"/>
        </w:rPr>
        <w:t>P28</w:t>
      </w:r>
      <w:r>
        <w:t>，而题干并未提供任何信息表明该客户的资金本身是合法的，也未说明此举是为了税务目的。本题的核心关注点是资金通过复杂结构被转移和隐匿的风险，与“合法避税”的语境不符，选项D更吻合教材对非法资金转移路径的描述。</w:t>
      </w:r>
    </w:p>
    <w:p>
      <w:pPr>
        <w:spacing w:before="120" w:after="40"/>
      </w:pPr>
      <w:r>
        <w:rPr>
          <w:b/>
          <w:sz w:val="21"/>
          <w:shd w:fill="D6E4F0" w:val="clear"/>
        </w:rPr>
        <w:t>C项错误</w:t>
      </w:r>
    </w:p>
    <w:p>
      <w:pPr>
        <w:spacing w:line="360" w:lineRule="auto" w:after="40"/>
        <w:ind w:firstLine="420"/>
      </w:pPr>
      <w:r>
        <w:t>教材明确将律师等特定非金融行业和职业（DNFBP）称为“守门人”</w:t>
      </w:r>
      <w:r>
        <w:rPr>
          <w:sz w:val="15"/>
          <w:vertAlign w:val="superscript"/>
        </w:rPr>
        <w:t>P119</w:t>
      </w:r>
      <w:r>
        <w:t>，并指出健全的反洗钱/反恐怖融资框架要求其在客户隐私与报告要求之间取得平衡，以遏制洗钱活动</w:t>
      </w:r>
      <w:r>
        <w:rPr>
          <w:sz w:val="15"/>
          <w:vertAlign w:val="superscript"/>
        </w:rPr>
        <w:t>P117</w:t>
      </w:r>
      <w:r>
        <w:t>。“无需进一步审查”的观点与教材对DNFBP需实施反洗钱/反恐怖融资控制措施的整体要求相悖，错误地将有洗钱风险的行为归为常规服务，选项D的“守门人”角色更准确地反映了教材中的风险评估。</w:t>
      </w:r>
    </w:p>
    <w:p>
      <w:pPr>
        <w:spacing w:before="120" w:after="40"/>
      </w:pPr>
      <w:r>
        <w:rPr>
          <w:b/>
          <w:sz w:val="21"/>
          <w:shd w:fill="D6E4F0" w:val="clear"/>
        </w:rPr>
        <w:t>易错提醒</w:t>
      </w:r>
    </w:p>
    <w:p>
      <w:pPr>
        <w:spacing w:line="360" w:lineRule="auto" w:after="40"/>
        <w:ind w:firstLine="420"/>
      </w:pPr>
      <w:r>
        <w:t>区分合法避税与洗钱风险：教材指出避税是合法的减少税负行为</w:t>
      </w:r>
      <w:r>
        <w:rPr>
          <w:sz w:val="15"/>
          <w:vertAlign w:val="superscript"/>
        </w:rPr>
        <w:t>P28</w:t>
      </w:r>
      <w:r>
        <w:t>，但本题的核心在于律所不审查资金来源、不报告可疑活动的消极行为，为客户利用复杂结构隐藏非法资金提供了便利，这直接对应教材对法律行业作为“守门人”所面临洗钱风险的描述</w:t>
      </w:r>
      <w:r>
        <w:rPr>
          <w:sz w:val="15"/>
          <w:vertAlign w:val="superscript"/>
        </w:rPr>
        <w:t>P125</w:t>
      </w:r>
      <w:r>
        <w:t>。判断关键在于客户资金是否涉及非法来源，而非行为本身的税务筹划功能。</w:t>
      </w:r>
    </w:p>
    <w:p>
      <w:pPr>
        <w:spacing w:line="360" w:lineRule="auto" w:after="120"/>
      </w:pPr>
      <w:r/>
    </w:p>
    <w:p>
      <w:pPr>
        <w:spacing w:line="360" w:lineRule="auto" w:after="40"/>
      </w:pPr>
      <w:r>
        <w:t>4. Professions such as lawyers, accountants, and trust and company service providers (TCSPs) are sometimes referred to as gatekeepers because they: ( )</w:t>
      </w:r>
    </w:p>
    <w:p>
      <w:pPr>
        <w:spacing w:line="360" w:lineRule="auto" w:after="20"/>
        <w:ind w:firstLine="283"/>
      </w:pPr>
      <w:r>
        <w:t>A. Often do not understand and are not covered by money laundering laws and regulations, unwittingly allowing criminals to enter the legitimate economy</w:t>
      </w:r>
    </w:p>
    <w:p>
      <w:pPr>
        <w:spacing w:line="360" w:lineRule="auto" w:after="20"/>
        <w:ind w:firstLine="283"/>
      </w:pPr>
      <w:r>
        <w:t>B. Are an entry point to the financial system and a first line of defense against the infiltration of illicit funds into the legitimate economy</w:t>
      </w:r>
    </w:p>
    <w:p>
      <w:pPr>
        <w:spacing w:line="360" w:lineRule="auto" w:after="20"/>
        <w:ind w:firstLine="283"/>
      </w:pPr>
      <w:r>
        <w:t>C. Are required under money laundering laws and regulations in all jurisdictions to stop any criminals from being able to integrate illicit funds into the legitimate economy</w:t>
      </w:r>
    </w:p>
    <w:p>
      <w:pPr>
        <w:spacing w:line="360" w:lineRule="auto" w:after="20"/>
        <w:ind w:firstLine="283"/>
      </w:pPr>
      <w:r>
        <w:t>D. Are high-risk actors who may deliberately allow criminals to enter the legitimate economy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“看门人”在反洗钱语境下的核心定义与功能</w:t>
      </w:r>
    </w:p>
    <w:p>
      <w:pPr>
        <w:spacing w:before="120" w:after="40"/>
      </w:pPr>
      <w:r>
        <w:rPr>
          <w:b/>
          <w:sz w:val="21"/>
          <w:shd w:fill="D6E4F0" w:val="clear"/>
        </w:rPr>
        <w:t>核心解析</w:t>
      </w:r>
    </w:p>
    <w:p>
      <w:pPr>
        <w:spacing w:line="360" w:lineRule="auto" w:after="40"/>
        <w:ind w:firstLine="420"/>
      </w:pPr>
      <w:r>
        <w:t>“看门人”指充当犯罪分子与金融系统之间中介的特定非金融行业或专业人士</w:t>
      </w:r>
      <w:r>
        <w:rPr>
          <w:sz w:val="15"/>
          <w:vertAlign w:val="superscript"/>
        </w:rPr>
        <w:t>P119</w:t>
      </w:r>
      <w:r>
        <w:t>。题干中的律师、会计师及信托与公司服务提供商均属此类，其角色本质上是进入金融体系的一个入口。由于它们处于非法资金尝试进入合法经济的前沿位置，因此构成防范非法资金渗透的第一道防线。选项B直接对应这一定义——既是“入口”也是“防线”——与教材描述完全吻合。</w:t>
      </w:r>
    </w:p>
    <w:p>
      <w:pPr>
        <w:spacing w:before="120" w:after="40"/>
      </w:pPr>
      <w:r>
        <w:rPr>
          <w:b/>
          <w:sz w:val="21"/>
          <w:shd w:fill="D6E4F0" w:val="clear"/>
        </w:rPr>
        <w:t>A项错误</w:t>
      </w:r>
    </w:p>
    <w:p>
      <w:pPr>
        <w:spacing w:line="360" w:lineRule="auto" w:after="40"/>
        <w:ind w:firstLine="420"/>
      </w:pPr>
      <w:r>
        <w:t>教材未表述看门人“不了解也不受反洗钱法规约束”。恰恰相反，教材指出看门人因缺乏保障措施时易被利用，但并非因其法律地位缺失，而是因其职能特性</w:t>
      </w:r>
      <w:r>
        <w:rPr>
          <w:sz w:val="15"/>
          <w:vertAlign w:val="superscript"/>
        </w:rPr>
        <w:t>P119</w:t>
      </w:r>
      <w:r>
        <w:t>。题干更支持看门人明知风险却处于防控位置，而非无意且不受约束。</w:t>
      </w:r>
    </w:p>
    <w:p>
      <w:pPr>
        <w:spacing w:before="120" w:after="40"/>
      </w:pPr>
      <w:r>
        <w:rPr>
          <w:b/>
          <w:sz w:val="21"/>
          <w:shd w:fill="D6E4F0" w:val="clear"/>
        </w:rPr>
        <w:t>C项错误</w:t>
      </w:r>
    </w:p>
    <w:p>
      <w:pPr>
        <w:spacing w:line="360" w:lineRule="auto" w:after="40"/>
        <w:ind w:firstLine="420"/>
      </w:pPr>
      <w:r>
        <w:t>教材提到部分离岸地区反洗钱法规薄弱</w:t>
      </w:r>
      <w:r>
        <w:rPr>
          <w:sz w:val="15"/>
          <w:vertAlign w:val="superscript"/>
        </w:rPr>
        <w:t>P127</w:t>
      </w:r>
      <w:r>
        <w:t>，说明并非“所有司法管辖区”都要求这些职业阻止洗钱。选项C的“所有司法管辖区”和“必须阻止”比正确项B的普遍性描述更绝对，与教材呈现的差异现实不符。</w:t>
      </w:r>
    </w:p>
    <w:p>
      <w:pPr>
        <w:spacing w:before="120" w:after="40"/>
      </w:pPr>
      <w:r>
        <w:rPr>
          <w:b/>
          <w:sz w:val="21"/>
          <w:shd w:fill="D6E4F0" w:val="clear"/>
        </w:rPr>
        <w:t>D项错误</w:t>
      </w:r>
    </w:p>
    <w:p>
      <w:pPr>
        <w:spacing w:line="360" w:lineRule="auto" w:after="40"/>
        <w:ind w:firstLine="420"/>
      </w:pPr>
      <w:r>
        <w:t>教材将看门人描述为中介和防御角色</w:t>
      </w:r>
      <w:r>
        <w:rPr>
          <w:sz w:val="15"/>
          <w:vertAlign w:val="superscript"/>
        </w:rPr>
        <w:t>P119</w:t>
      </w:r>
      <w:r>
        <w:t>，并未将其定性为“高风险主体”或“故意”允许犯罪。看门人可能被利用，但“故意让犯罪分子进入”这一恶意假设，不如B项“第一道防线”更吻合教材的职能定位。</w:t>
      </w:r>
    </w:p>
    <w:p>
      <w:pPr>
        <w:spacing w:before="120" w:after="40"/>
      </w:pPr>
      <w:r>
        <w:rPr>
          <w:b/>
          <w:sz w:val="21"/>
          <w:shd w:fill="D6E4F0" w:val="clear"/>
        </w:rPr>
        <w:t>易错提醒</w:t>
      </w:r>
    </w:p>
    <w:p>
      <w:pPr>
        <w:spacing w:line="360" w:lineRule="auto" w:after="40"/>
        <w:ind w:firstLine="420"/>
      </w:pPr>
      <w:r>
        <w:t>区分“看门人的职能风险”与“看门人的法律地位”。教材指出看门人可能因缺乏保障措施而被利用</w:t>
      </w:r>
      <w:r>
        <w:rPr>
          <w:sz w:val="15"/>
          <w:vertAlign w:val="superscript"/>
        </w:rPr>
        <w:t>P119</w:t>
      </w:r>
      <w:r>
        <w:t>，但并未说他们不受法规约束。选项A错将职能性风险等同于法律缺失。</w:t>
      </w:r>
    </w:p>
    <w:p>
      <w:pPr>
        <w:spacing w:line="360" w:lineRule="auto" w:after="120"/>
      </w:pPr>
      <w:r/>
    </w:p>
    <w:p>
      <w:pPr>
        <w:spacing w:line="360" w:lineRule="auto" w:after="40"/>
      </w:pPr>
      <w:r>
        <w:t>5. Which suspicious activity may be the strongest indicator of money laundering through a casino? ( )</w:t>
      </w:r>
    </w:p>
    <w:p>
      <w:pPr>
        <w:spacing w:line="360" w:lineRule="auto" w:after="20"/>
        <w:ind w:firstLine="283"/>
      </w:pPr>
      <w:r>
        <w:t>A. A privately held company originates fund transfers through the casino into the betting accounts of multiple patrons</w:t>
      </w:r>
    </w:p>
    <w:p>
      <w:pPr>
        <w:spacing w:line="360" w:lineRule="auto" w:after="20"/>
        <w:ind w:firstLine="283"/>
      </w:pPr>
      <w:r>
        <w:t>B. A patron requests the casino to transfer their winnings to another gambling operator</w:t>
      </w:r>
    </w:p>
    <w:p>
      <w:pPr>
        <w:spacing w:line="360" w:lineRule="auto" w:after="20"/>
        <w:ind w:firstLine="283"/>
      </w:pPr>
      <w:r>
        <w:t>C. A patron purchases a large amount of chips at a blackjack table using cash</w:t>
      </w:r>
    </w:p>
    <w:p>
      <w:pPr>
        <w:spacing w:line="360" w:lineRule="auto" w:after="20"/>
        <w:ind w:firstLine="283"/>
      </w:pPr>
      <w:r>
        <w:t>D. A patron routinely places multiple bets on the same sporting events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识别赌场洗钱中利用第三人及多账户的结构化交易特征</w:t>
      </w:r>
    </w:p>
    <w:p>
      <w:pPr>
        <w:spacing w:before="120" w:after="40"/>
      </w:pPr>
      <w:r>
        <w:rPr>
          <w:b/>
          <w:sz w:val="21"/>
          <w:shd w:fill="D6E4F0" w:val="clear"/>
        </w:rPr>
        <w:t>核心解析</w:t>
      </w:r>
    </w:p>
    <w:p>
      <w:pPr>
        <w:spacing w:line="360" w:lineRule="auto" w:after="40"/>
        <w:ind w:firstLine="420"/>
      </w:pPr>
      <w:r>
        <w:t>结构化交易指通过第三方和多个账户拆分资金以规避报告门槛</w:t>
      </w:r>
      <w:r>
        <w:rPr>
          <w:sz w:val="15"/>
          <w:vertAlign w:val="superscript"/>
        </w:rPr>
        <w:t>P121</w:t>
      </w:r>
      <w:r>
        <w:t>。教材在博彩风险部分将“利用第三方和多笔交易安排存款”列为洗钱风险指标</w:t>
      </w:r>
      <w:r>
        <w:rPr>
          <w:sz w:val="15"/>
          <w:vertAlign w:val="superscript"/>
        </w:rPr>
        <w:t>P121</w:t>
      </w:r>
      <w:r>
        <w:t>。选项A中，一家私人控股公司作为资金的发起方，将资金转入多个赌客的投注账户，这正好吻合了利用公司实体和多个第三方账户来层层转移资金、切断来源与去向直接关联的离析手法。这种有组织的第三人介入和多账户特征，相比单纯的个人行为更能反映洗钱活动的隐蔽意图，因此是教材框架下最强的洗钱迹象。</w:t>
      </w:r>
    </w:p>
    <w:p>
      <w:pPr>
        <w:spacing w:before="120" w:after="40"/>
      </w:pPr>
      <w:r>
        <w:rPr>
          <w:b/>
          <w:sz w:val="21"/>
          <w:shd w:fill="D6E4F0" w:val="clear"/>
        </w:rPr>
        <w:t>B项错误</w:t>
      </w:r>
    </w:p>
    <w:p>
      <w:pPr>
        <w:spacing w:line="360" w:lineRule="auto" w:after="40"/>
        <w:ind w:firstLine="420"/>
      </w:pPr>
      <w:r>
        <w:t>将赢来的钱转入另一家博彩运营商，在教材中更接近正常商业行为或资金转移，题干未提供涉及伪造文件或秘密跨境转移犯罪收益等洗钱要素，因此作为洗钱迹象的强度不如A项直接。</w:t>
      </w:r>
    </w:p>
    <w:p>
      <w:pPr>
        <w:spacing w:before="120" w:after="40"/>
      </w:pPr>
      <w:r>
        <w:rPr>
          <w:b/>
          <w:sz w:val="21"/>
          <w:shd w:fill="D6E4F0" w:val="clear"/>
        </w:rPr>
        <w:t>C项错误</w:t>
      </w:r>
    </w:p>
    <w:p>
      <w:pPr>
        <w:spacing w:line="360" w:lineRule="auto" w:after="40"/>
        <w:ind w:firstLine="420"/>
      </w:pPr>
      <w:r>
        <w:t>教材描述了犯罪分子通过匿名购买筹码、短暂赌博后兑现来清洗资金</w:t>
      </w:r>
      <w:r>
        <w:rPr>
          <w:sz w:val="15"/>
          <w:vertAlign w:val="superscript"/>
        </w:rPr>
        <w:t>P120</w:t>
      </w:r>
      <w:r>
        <w:t>。但本题只描述了用现金大量购买筹码这一瞬间行为，这只是放置环节的一步，尚未形成完整的“买筹码-赌博-兑现”清洗循环，其作为完整洗钱迹象的完成度不如A项高。</w:t>
      </w:r>
    </w:p>
    <w:p>
      <w:pPr>
        <w:spacing w:before="120" w:after="40"/>
      </w:pPr>
      <w:r>
        <w:rPr>
          <w:b/>
          <w:sz w:val="21"/>
          <w:shd w:fill="D6E4F0" w:val="clear"/>
        </w:rPr>
        <w:t>D项错误</w:t>
      </w:r>
    </w:p>
    <w:p>
      <w:pPr>
        <w:spacing w:line="360" w:lineRule="auto" w:after="40"/>
        <w:ind w:firstLine="420"/>
      </w:pPr>
      <w:r>
        <w:t>在相同体育赛事上多次下注更可能反映的是特定博彩偏好或套利策略，题干并未提及故意输牌转移价值</w:t>
      </w:r>
      <w:r>
        <w:rPr>
          <w:sz w:val="15"/>
          <w:vertAlign w:val="superscript"/>
        </w:rPr>
        <w:t>P121</w:t>
      </w:r>
      <w:r>
        <w:t>或任何其他洗钱相关的异常背景，因此不如具备结构性离析特征的选项A更吻合教材对可疑活动的刻画。</w:t>
      </w:r>
    </w:p>
    <w:p>
      <w:pPr>
        <w:spacing w:before="120" w:after="40"/>
      </w:pPr>
      <w:r>
        <w:rPr>
          <w:b/>
          <w:sz w:val="21"/>
          <w:shd w:fill="D6E4F0" w:val="clear"/>
        </w:rPr>
        <w:t>易错提醒</w:t>
      </w:r>
    </w:p>
    <w:p>
      <w:pPr>
        <w:spacing w:line="360" w:lineRule="auto" w:after="40"/>
        <w:ind w:firstLine="420"/>
      </w:pPr>
      <w:r>
        <w:t>区分单一现金交易与结构化交易的差异。大额现金购买筹码本身更多是放置阶段风险，而洗钱的最强迹象往往在于离析阶段——即利用多个账户、第三人拆分资金流动以逃避监管红线，这是选项A优于C的核心理由。</w:t>
      </w:r>
    </w:p>
    <w:p>
      <w:pPr>
        <w:spacing w:line="360" w:lineRule="auto" w:after="120"/>
      </w:pPr>
      <w:r/>
    </w:p>
    <w:p>
      <w:pPr>
        <w:spacing w:line="360" w:lineRule="auto" w:after="40"/>
      </w:pPr>
      <w:r>
        <w:t>6. Business entities established in offshore financial centers (OFCs) pose unique risks for money laundering because they often: ( )</w:t>
      </w:r>
    </w:p>
    <w:p>
      <w:pPr>
        <w:spacing w:line="360" w:lineRule="auto" w:after="20"/>
        <w:ind w:firstLine="283"/>
      </w:pPr>
      <w:r>
        <w:t>A. Have informal business arrangements between persons or entities</w:t>
      </w:r>
    </w:p>
    <w:p>
      <w:pPr>
        <w:spacing w:line="360" w:lineRule="auto" w:after="20"/>
        <w:ind w:firstLine="283"/>
      </w:pPr>
      <w:r>
        <w:t>B. Are located in geographies that are not accountable to U.S. laws</w:t>
      </w:r>
    </w:p>
    <w:p>
      <w:pPr>
        <w:spacing w:line="360" w:lineRule="auto" w:after="20"/>
        <w:ind w:firstLine="283"/>
      </w:pPr>
      <w:r>
        <w:t>C. Include trusts, investment funds, and insurance companies</w:t>
      </w:r>
    </w:p>
    <w:p>
      <w:pPr>
        <w:spacing w:line="360" w:lineRule="auto" w:after="20"/>
        <w:ind w:firstLine="283"/>
      </w:pPr>
      <w:r>
        <w:t>D. Have limited organizational disclosure and recordkeeping requirements for establishing these business entities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识别离岸金融中心因披露有限而产生的高风险特征</w:t>
      </w:r>
    </w:p>
    <w:p>
      <w:pPr>
        <w:spacing w:before="120" w:after="40"/>
      </w:pPr>
      <w:r>
        <w:rPr>
          <w:b/>
          <w:sz w:val="21"/>
          <w:shd w:fill="D6E4F0" w:val="clear"/>
        </w:rPr>
        <w:t>核心解析</w:t>
      </w:r>
    </w:p>
    <w:p>
      <w:pPr>
        <w:spacing w:line="360" w:lineRule="auto" w:after="40"/>
        <w:ind w:firstLine="420"/>
      </w:pPr>
      <w:r>
        <w:t>教材将“有限的公开记录”（limited availability of public records）和“缺乏透明度”（lack of transparency）列为离岸金融中心的核心红旗信号（P127, P74）。离岸金融中心的洗钱风险根源于信息不透明——当设立商业实体的组织披露和记录保存要求有限时，执法机构和金融机构难以穿透层层结构来识别最终受益所有人，这为隐藏非法资金提供了便利。题干直接指向这一根本性风险特征：OFC之所以带来独特洗钱风险，正是因为它对设立商业实体的披露和记录保存要求有限，使得犯罪分子可以利用这种不透明性掩盖真实所有权。选项D准确抓住了教材定义的OFC风险本源。</w:t>
      </w:r>
    </w:p>
    <w:p>
      <w:pPr>
        <w:spacing w:before="120" w:after="40"/>
      </w:pPr>
      <w:r>
        <w:rPr>
          <w:b/>
          <w:sz w:val="21"/>
          <w:shd w:fill="D6E4F0" w:val="clear"/>
        </w:rPr>
        <w:t>教材原句</w:t>
      </w:r>
    </w:p>
    <w:p>
      <w:pPr>
        <w:spacing w:line="360" w:lineRule="auto" w:after="40"/>
        <w:ind w:firstLine="420"/>
      </w:pPr>
      <w:r>
        <w:t>"The limited availability of public records and complex international transaction flows increase the money laundering risks associated with offshore companies, making TCSP an important gatekeeper."</w:t>
      </w:r>
    </w:p>
    <w:p>
      <w:pPr>
        <w:spacing w:before="120" w:after="40"/>
      </w:pPr>
      <w:r>
        <w:rPr>
          <w:b/>
          <w:sz w:val="21"/>
          <w:shd w:fill="D6E4F0" w:val="clear"/>
        </w:rPr>
        <w:t>A项错误</w:t>
      </w:r>
    </w:p>
    <w:p>
      <w:pPr>
        <w:spacing w:line="360" w:lineRule="auto" w:after="40"/>
        <w:ind w:firstLine="420"/>
      </w:pPr>
      <w:r>
        <w:t>教材在离岸金融中心风险的讨论中未将“非正式业务安排”列为OFC的核心红旗信号。OFC的红旗信号清单包括复杂所有权结构、使用壳公司、缺乏透明度等</w:t>
      </w:r>
      <w:r>
        <w:rPr>
          <w:sz w:val="15"/>
          <w:vertAlign w:val="superscript"/>
        </w:rPr>
        <w:t>P74</w:t>
      </w:r>
      <w:r>
        <w:t>，这些均指向披露和记录制度的不完善，而非交易方之间的非正式安排。题干无信息支撑这一因素构成OFC的独特风险特征。</w:t>
      </w:r>
    </w:p>
    <w:p>
      <w:pPr>
        <w:spacing w:before="120" w:after="40"/>
      </w:pPr>
      <w:r>
        <w:rPr>
          <w:b/>
          <w:sz w:val="21"/>
          <w:shd w:fill="D6E4F0" w:val="clear"/>
        </w:rPr>
        <w:t>B项错误</w:t>
      </w:r>
    </w:p>
    <w:p>
      <w:pPr>
        <w:spacing w:line="360" w:lineRule="auto" w:after="40"/>
        <w:ind w:firstLine="420"/>
      </w:pPr>
      <w:r>
        <w:t>教材指出部分离岸地区反洗钱法规薄弱</w:t>
      </w:r>
      <w:r>
        <w:rPr>
          <w:sz w:val="15"/>
          <w:vertAlign w:val="superscript"/>
        </w:rPr>
        <w:t>P127</w:t>
      </w:r>
      <w:r>
        <w:t>，但OFC的核心风险在于披露和透明度的结构性缺失，而非特定国家法律的适用性问题。选项B将焦点限定在“美国法律”这一国家视角，相比选项D从披露制度本身切入，后者更直接吻合教材定义的OFC风险特征。此外，教材提到美英法的反腐败立法具有域外效力</w:t>
      </w:r>
      <w:r>
        <w:rPr>
          <w:sz w:val="15"/>
          <w:vertAlign w:val="superscript"/>
        </w:rPr>
        <w:t>P205</w:t>
      </w:r>
      <w:r>
        <w:t>，OFC并非完全不面临任何国家的法律约束。</w:t>
      </w:r>
    </w:p>
    <w:p>
      <w:pPr>
        <w:spacing w:before="120" w:after="40"/>
      </w:pPr>
      <w:r>
        <w:rPr>
          <w:b/>
          <w:sz w:val="21"/>
          <w:shd w:fill="D6E4F0" w:val="clear"/>
        </w:rPr>
        <w:t>C项错误</w:t>
      </w:r>
    </w:p>
    <w:p>
      <w:pPr>
        <w:spacing w:line="360" w:lineRule="auto" w:after="40"/>
        <w:ind w:firstLine="420"/>
      </w:pPr>
      <w:r>
        <w:t>教材将信托、投资基金、保险公司归类为“金融机构”，属于受监管的实体类型</w:t>
      </w:r>
      <w:r>
        <w:rPr>
          <w:sz w:val="15"/>
          <w:vertAlign w:val="superscript"/>
        </w:rPr>
        <w:t>P199</w:t>
      </w:r>
      <w:r>
        <w:t>。题干问的是在OFC“设立商业实体”本身为何带来风险，而非这些实体属于什么类型。选项C列举的实体本身并非风险来源，风险在于设立这些实体时披露和记录保存要求有限——这与选项D相比，匹配度明显不足。</w:t>
      </w:r>
    </w:p>
    <w:p>
      <w:pPr>
        <w:spacing w:before="120" w:after="40"/>
      </w:pPr>
      <w:r>
        <w:rPr>
          <w:b/>
          <w:sz w:val="21"/>
          <w:shd w:fill="D6E4F0" w:val="clear"/>
        </w:rPr>
        <w:t>易错提醒</w:t>
      </w:r>
    </w:p>
    <w:p>
      <w:pPr>
        <w:spacing w:line="360" w:lineRule="auto" w:after="40"/>
        <w:ind w:firstLine="420"/>
      </w:pPr>
      <w:r>
        <w:t>不要将“不受美国法律约束”这一国别视角等同于教材定义的OFC核心风险。教材强调OFC的风险在于“披露与透明度不足”这一结构性缺陷，而非特定国家对OFC是否有管辖权。前者是制度设计的缺失，后者是法律管辖范围的问题，两者切入角度不同。</w:t>
      </w:r>
    </w:p>
    <w:p>
      <w:pPr>
        <w:spacing w:line="360" w:lineRule="auto" w:after="120"/>
      </w:pPr>
      <w:r/>
    </w:p>
    <w:p>
      <w:pPr>
        <w:spacing w:line="360" w:lineRule="auto" w:after="40"/>
      </w:pPr>
      <w:r>
        <w:t>7. While there are legitimate reasons for trust and company service providers (TCSPs) to appoint a nominee shareholder, which feature of a nominee shareholder presents the greatest financial crime risk? ( )</w:t>
      </w:r>
    </w:p>
    <w:p>
      <w:pPr>
        <w:spacing w:line="360" w:lineRule="auto" w:after="20"/>
        <w:ind w:firstLine="283"/>
      </w:pPr>
      <w:r>
        <w:t>A. Supporting company liquidity and ease of exit strategies</w:t>
      </w:r>
    </w:p>
    <w:p>
      <w:pPr>
        <w:spacing w:line="360" w:lineRule="auto" w:after="20"/>
        <w:ind w:firstLine="283"/>
      </w:pPr>
      <w:r>
        <w:t>B. Providing anonymity for the beneficial owner by keeping their identity hidden from the public register</w:t>
      </w:r>
    </w:p>
    <w:p>
      <w:pPr>
        <w:spacing w:line="360" w:lineRule="auto" w:after="20"/>
        <w:ind w:firstLine="283"/>
      </w:pPr>
      <w:r>
        <w:t>C. Simplifying administrative tasks associated with shareholding</w:t>
      </w:r>
    </w:p>
    <w:p>
      <w:pPr>
        <w:spacing w:line="360" w:lineRule="auto" w:after="20"/>
        <w:ind w:firstLine="283"/>
      </w:pPr>
      <w:r>
        <w:t>D. Helping non-residents comply with local ownership laws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识别名义服务通过隐藏受益所有人身份带来的洗钱风险</w:t>
      </w:r>
    </w:p>
    <w:p>
      <w:pPr>
        <w:spacing w:before="120" w:after="40"/>
      </w:pPr>
      <w:r>
        <w:rPr>
          <w:b/>
          <w:sz w:val="21"/>
          <w:shd w:fill="D6E4F0" w:val="clear"/>
        </w:rPr>
        <w:t>核心解析</w:t>
      </w:r>
    </w:p>
    <w:p>
      <w:pPr>
        <w:spacing w:line="360" w:lineRule="auto" w:after="40"/>
        <w:ind w:firstLine="420"/>
      </w:pPr>
      <w:r>
        <w:t>名义董事或股东可被用于隐藏最终受益所有人（UBO）身份，通过混淆制造一层匿名性，从而放大洗钱风险</w:t>
      </w:r>
      <w:r>
        <w:rPr>
          <w:sz w:val="15"/>
          <w:vertAlign w:val="superscript"/>
        </w:rPr>
        <w:t>P127</w:t>
      </w:r>
      <w:r>
        <w:t>。题干聚焦于代名股东的“最大金融犯罪风险”特征。相比之下，选项B描述的“将受益所有人身份从公共登记册中隐藏以提供匿名性”直接命中教材定义的核心风险机制——利用名义结构切断所有权链条与公开记录的关联，使执法机关和金融机构难以穿透识别真正控制者。这种匿名性正是洗钱分子利用TCSP名义服务的最主要目的，其危害程度超过单纯的行政便利或合规辅助。选项B与教材的风险定位完全吻合，由此可推断为该题条件下的最优解。</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“支持公司流动性及退出策略的便利性”属于正当商业目的范畴。题干问的是金融犯罪风险，而非合法功能。选项A与教材对名义服务洗钱风险的定位不直接相关，教材未将此便利性列为风险要素。</w:t>
      </w:r>
    </w:p>
    <w:p>
      <w:pPr>
        <w:spacing w:before="120" w:after="40"/>
      </w:pPr>
      <w:r>
        <w:rPr>
          <w:b/>
          <w:sz w:val="21"/>
          <w:shd w:fill="D6E4F0" w:val="clear"/>
        </w:rPr>
        <w:t>C项错误</w:t>
      </w:r>
    </w:p>
    <w:p>
      <w:pPr>
        <w:spacing w:line="360" w:lineRule="auto" w:after="40"/>
        <w:ind w:firstLine="420"/>
      </w:pPr>
      <w:r>
        <w:t>“简化行政事务”是名义服务的正当功能之一。教材在定义名义服务时提及第三方代表客户担任董事或股东</w:t>
      </w:r>
      <w:r>
        <w:rPr>
          <w:sz w:val="15"/>
          <w:vertAlign w:val="superscript"/>
        </w:rPr>
        <w:t>P127</w:t>
      </w:r>
      <w:r>
        <w:t>，简化行政事务本身就属于此类服务的常规目的，未被归入风险指标。</w:t>
      </w:r>
    </w:p>
    <w:p>
      <w:pPr>
        <w:spacing w:before="120" w:after="40"/>
      </w:pPr>
      <w:r>
        <w:rPr>
          <w:b/>
          <w:sz w:val="21"/>
          <w:shd w:fill="D6E4F0" w:val="clear"/>
        </w:rPr>
        <w:t>D项错误</w:t>
      </w:r>
    </w:p>
    <w:p>
      <w:pPr>
        <w:spacing w:line="360" w:lineRule="auto" w:after="40"/>
        <w:ind w:firstLine="420"/>
      </w:pPr>
      <w:r>
        <w:t>“协助非居民遵守本地所有权法规”同样是TCSP提供名义服务的合法商业场景。教材虽然提到离岸金融中心为非居民提供金融服务</w:t>
      </w:r>
      <w:r>
        <w:rPr>
          <w:sz w:val="15"/>
          <w:vertAlign w:val="superscript"/>
        </w:rPr>
        <w:t>P74</w:t>
      </w:r>
      <w:r>
        <w:t>，但并未将此合规辅助功能识别为洗钱风险来源。与其说是风险特征，不如说是合规动机。</w:t>
      </w:r>
    </w:p>
    <w:p>
      <w:pPr>
        <w:spacing w:before="120" w:after="40"/>
      </w:pPr>
      <w:r>
        <w:rPr>
          <w:b/>
          <w:sz w:val="21"/>
          <w:shd w:fill="D6E4F0" w:val="clear"/>
        </w:rPr>
        <w:t>易错提醒</w:t>
      </w:r>
    </w:p>
    <w:p>
      <w:pPr>
        <w:spacing w:line="360" w:lineRule="auto" w:after="40"/>
        <w:ind w:firstLine="420"/>
      </w:pPr>
      <w:r>
        <w:t>“匿名性”（anonymity）与“谨慎性”（discretion）在教材中被明确区分：谨慎是客户寻求的合理数据保护诉求，而匿名则是故意切断身份关联以逃避审查</w:t>
      </w:r>
      <w:r>
        <w:rPr>
          <w:sz w:val="15"/>
          <w:vertAlign w:val="superscript"/>
        </w:rPr>
        <w:t>P341</w:t>
      </w:r>
      <w:r>
        <w:t>。名义服务之所以构成高风险，恰恰因为它提供的是“匿名”而非“谨慎”——代名股东将受益所有人完全隐藏在公共登记册之外，而非仅在数据使用层面保持审慎。</w:t>
      </w:r>
    </w:p>
    <w:p>
      <w:pPr>
        <w:spacing w:line="360" w:lineRule="auto" w:after="120"/>
      </w:pPr>
      <w:r/>
    </w:p>
    <w:p>
      <w:pPr>
        <w:spacing w:line="360" w:lineRule="auto" w:after="40"/>
      </w:pPr>
      <w:r>
        <w:t>8. Criminals may misuse financial statements prepared by accountants to hide illicit assets. Which of the following scenarios poses the greatest risk of financial statement manipulation by criminals? ( )</w:t>
      </w:r>
    </w:p>
    <w:p>
      <w:pPr>
        <w:spacing w:line="360" w:lineRule="auto" w:after="20"/>
        <w:ind w:firstLine="283"/>
      </w:pPr>
      <w:r>
        <w:t>A. Lack of professional body oversight or lack of required use of accounting and auditing standards in the country of incorporation of the entity</w:t>
      </w:r>
    </w:p>
    <w:p>
      <w:pPr>
        <w:spacing w:line="360" w:lineRule="auto" w:after="20"/>
        <w:ind w:firstLine="283"/>
      </w:pPr>
      <w:r>
        <w:t>B. Criminals posing as individuals seeking financial advice to place assets out of reach to avoid future liabilities</w:t>
      </w:r>
    </w:p>
    <w:p>
      <w:pPr>
        <w:spacing w:line="360" w:lineRule="auto" w:after="20"/>
        <w:ind w:firstLine="283"/>
      </w:pPr>
      <w:r>
        <w:t>C. Incomplete records being provided during bookkeeping, making them difficult to audit</w:t>
      </w:r>
    </w:p>
    <w:p>
      <w:pPr>
        <w:spacing w:line="360" w:lineRule="auto" w:after="20"/>
        <w:ind w:firstLine="283"/>
      </w:pPr>
      <w:r>
        <w:t>D. Accountants being used as intermediaries to introduce criminals to financial institutions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监管缺失对财务报表操纵风险的影响</w:t>
      </w:r>
    </w:p>
    <w:p>
      <w:pPr>
        <w:spacing w:before="120" w:after="40"/>
      </w:pPr>
      <w:r>
        <w:rPr>
          <w:b/>
          <w:sz w:val="21"/>
          <w:shd w:fill="D6E4F0" w:val="clear"/>
        </w:rPr>
        <w:t>核心解析</w:t>
      </w:r>
    </w:p>
    <w:p>
      <w:pPr>
        <w:spacing w:line="360" w:lineRule="auto" w:after="40"/>
        <w:ind w:firstLine="420"/>
      </w:pPr>
      <w:r>
        <w:t>会计与审计行业因接触敏感财务信息，以及在财务管理、报告和咨询中发挥作用而面临重大洗钱风险</w:t>
      </w:r>
      <w:r>
        <w:rPr>
          <w:sz w:val="15"/>
          <w:vertAlign w:val="superscript"/>
        </w:rPr>
        <w:t>P123</w:t>
      </w:r>
      <w:r>
        <w:t>。财务报表本身是报告职能的核心输出，如果实体注册国缺乏专业机构监管且不强制要求使用会计和审计标准，编制过程就缺少统一约束和外部独立验证。犯罪分子在这种制度环境下更容易虚构或篡改财务数据，用看似合法的报表遮掩非法资产的来源和去向。题干问的是“最有可能导致犯罪分子操纵财务报表”的情形，制度性的监督真空直接为操纵提供了土壤，比其他选项中偶发的人为介入或信息不全更根本地削弱了报表的可信度。</w:t>
      </w:r>
    </w:p>
    <w:p>
      <w:pPr>
        <w:spacing w:before="120" w:after="40"/>
      </w:pPr>
      <w:r>
        <w:rPr>
          <w:b/>
          <w:sz w:val="21"/>
          <w:shd w:fill="D6E4F0" w:val="clear"/>
        </w:rPr>
        <w:t>教材原句</w:t>
      </w:r>
    </w:p>
    <w:p>
      <w:pPr>
        <w:spacing w:line="360" w:lineRule="auto" w:after="40"/>
        <w:ind w:firstLine="420"/>
      </w:pPr>
      <w:r>
        <w:t>"Money laundering poses substantial risks in the accounting and auditing sectors due to professionals' access to sensitive financial information and their roles in financial management, reporting, and advising."</w:t>
      </w:r>
    </w:p>
    <w:p>
      <w:pPr>
        <w:spacing w:before="120" w:after="40"/>
      </w:pPr>
      <w:r>
        <w:rPr>
          <w:b/>
          <w:sz w:val="21"/>
          <w:shd w:fill="D6E4F0" w:val="clear"/>
        </w:rPr>
        <w:t>B项错误</w:t>
      </w:r>
    </w:p>
    <w:p>
      <w:pPr>
        <w:spacing w:line="360" w:lineRule="auto" w:after="40"/>
        <w:ind w:firstLine="420"/>
      </w:pPr>
      <w:r>
        <w:t>选项描述犯罪分子伪装身份转移资产以逃避责任，侧重于隐匿资产本身，而非伪造财务报表数据。教材中会计师也可能设计复杂结构隐藏资产</w:t>
      </w:r>
      <w:r>
        <w:rPr>
          <w:sz w:val="15"/>
          <w:vertAlign w:val="superscript"/>
        </w:rPr>
        <w:t>P123</w:t>
      </w:r>
      <w:r>
        <w:t>，但题干特指“操纵财务报表”，该选项缺少与报表编制的直接联系，匹配度不如反映制度缺陷的A。</w:t>
      </w:r>
    </w:p>
    <w:p>
      <w:pPr>
        <w:spacing w:before="120" w:after="40"/>
      </w:pPr>
      <w:r>
        <w:rPr>
          <w:b/>
          <w:sz w:val="21"/>
          <w:shd w:fill="D6E4F0" w:val="clear"/>
        </w:rPr>
        <w:t>C项错误</w:t>
      </w:r>
    </w:p>
    <w:p>
      <w:pPr>
        <w:spacing w:line="360" w:lineRule="auto" w:after="40"/>
        <w:ind w:firstLine="420"/>
      </w:pPr>
      <w:r>
        <w:t>记录不完整造成审计困难，更多体现为会计师面临的业务障碍，而非犯罪分子主动操纵报表的驱动力。题干问的是何种情形为操纵提供最有利条件，A所代表的监管缺失能从根源上解除对报表的制约，相比之下，不完整记录只是执行层面的局部问题，不足以成为最直接的风险因素。</w:t>
      </w:r>
    </w:p>
    <w:p>
      <w:pPr>
        <w:spacing w:before="120" w:after="40"/>
      </w:pPr>
      <w:r>
        <w:rPr>
          <w:b/>
          <w:sz w:val="21"/>
          <w:shd w:fill="D6E4F0" w:val="clear"/>
        </w:rPr>
        <w:t>D项错误</w:t>
      </w:r>
    </w:p>
    <w:p>
      <w:pPr>
        <w:spacing w:line="360" w:lineRule="auto" w:after="40"/>
        <w:ind w:firstLine="420"/>
      </w:pPr>
      <w:r>
        <w:t>会计师被用作中间人介绍金融机构属于DNFBP看门人角色的滥用</w:t>
      </w:r>
      <w:r>
        <w:rPr>
          <w:sz w:val="15"/>
          <w:vertAlign w:val="superscript"/>
        </w:rPr>
        <w:t>P119</w:t>
      </w:r>
      <w:r>
        <w:t>，其焦点在于通过专业人员接触金融系统，与财务报表本身的编制或篡改行为无关。题干锁定的风险是粉饰报表，而该选项未涉及任何报表生成的环节，关联度明显低于A。</w:t>
      </w:r>
    </w:p>
    <w:p>
      <w:pPr>
        <w:spacing w:line="360" w:lineRule="auto" w:after="120"/>
      </w:pPr>
      <w:r/>
    </w:p>
    <w:p>
      <w:pPr>
        <w:spacing w:line="360" w:lineRule="auto" w:after="40"/>
      </w:pPr>
      <w:r>
        <w:t>9. The compliance department of a casino is reviewing recent transactions and has identified activities that may require further scrutiny. Which transaction would require further investigation? ( )</w:t>
      </w:r>
    </w:p>
    <w:p>
      <w:pPr>
        <w:spacing w:line="360" w:lineRule="auto" w:after="20"/>
        <w:ind w:firstLine="283"/>
      </w:pPr>
      <w:r>
        <w:t>A. A patron who regularly visits the casino, deposits small amounts of cash, and consistently requests to cash out winnings in high-value checks</w:t>
      </w:r>
    </w:p>
    <w:p>
      <w:pPr>
        <w:spacing w:line="360" w:lineRule="auto" w:after="20"/>
        <w:ind w:firstLine="283"/>
      </w:pPr>
      <w:r>
        <w:t>B. A group of tourists who buy chips with credit cards and engage in high-stakes games before cashing out</w:t>
      </w:r>
    </w:p>
    <w:p>
      <w:pPr>
        <w:spacing w:line="360" w:lineRule="auto" w:after="20"/>
        <w:ind w:firstLine="283"/>
      </w:pPr>
      <w:r>
        <w:t>C. A player who purchases USD 50,000 in chips using a combination of cash and a wire transfer from an international account, does not gamble, and then cashes out</w:t>
      </w:r>
    </w:p>
    <w:p>
      <w:pPr>
        <w:spacing w:line="360" w:lineRule="auto" w:after="20"/>
        <w:ind w:firstLine="283"/>
      </w:pPr>
      <w:r>
        <w:t>D. An occasional visitor who plays low-stakes games using a prepaid debit card linked to a foreign account</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识别赌场场景下购买筹码不解赌即兑现的洗钱手法</w:t>
      </w:r>
    </w:p>
    <w:p>
      <w:pPr>
        <w:spacing w:before="120" w:after="40"/>
      </w:pPr>
      <w:r>
        <w:rPr>
          <w:b/>
          <w:sz w:val="21"/>
          <w:shd w:fill="D6E4F0" w:val="clear"/>
        </w:rPr>
        <w:t>核心解析</w:t>
      </w:r>
    </w:p>
    <w:p>
      <w:pPr>
        <w:spacing w:line="360" w:lineRule="auto" w:after="40"/>
        <w:ind w:firstLine="420"/>
      </w:pPr>
      <w:r>
        <w:t>教材指出犯罪分子会通过匿名购买筹码、短暂赌博后兑现来清洗非法资金</w:t>
      </w:r>
      <w:r>
        <w:rPr>
          <w:sz w:val="15"/>
          <w:vertAlign w:val="superscript"/>
        </w:rPr>
        <w:t>P120</w:t>
      </w:r>
      <w:r>
        <w:t>。赌场因大量现金交易而特别易受洗钱风险</w:t>
      </w:r>
      <w:r>
        <w:rPr>
          <w:sz w:val="15"/>
          <w:vertAlign w:val="superscript"/>
        </w:rPr>
        <w:t>P120</w:t>
      </w:r>
      <w:r>
        <w:t>。选项C中，玩家使用现金和国际电汇购买5万美元筹码，但未参与任何赌博就直接全部提现。这种“购买筹码→不赌即兑现”的模式，比教材描述的“短暂赌博后再兑现”更直接地实现了资金的转换与清洗，完全绕开了赌博这一掩盖环节，异常特征极为突出，因此最需要进一步调查。</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A项错误</w:t>
      </w:r>
    </w:p>
    <w:p>
      <w:pPr>
        <w:spacing w:line="360" w:lineRule="auto" w:after="40"/>
        <w:ind w:firstLine="420"/>
      </w:pPr>
      <w:r>
        <w:t>该赌客将小额现金兑换为大额支票，属于赌场内常见的资金转出方式，且“赢来的钱”提示其已完成赌博，行为符合正常客户画像。教材</w:t>
      </w:r>
      <w:r>
        <w:rPr>
          <w:sz w:val="15"/>
          <w:vertAlign w:val="superscript"/>
        </w:rPr>
        <w:t>P436</w:t>
      </w:r>
      <w:r>
        <w:t>在客户分群案例中说明，街头小贩定期现金存款因业务性质属预期行为，同理，常客将赌赢现金换为支票亦属预期，不如C那种跳过赌博直接兑现的异常模式需要调查。</w:t>
      </w:r>
    </w:p>
    <w:p>
      <w:pPr>
        <w:spacing w:before="120" w:after="40"/>
      </w:pPr>
      <w:r>
        <w:rPr>
          <w:b/>
          <w:sz w:val="21"/>
          <w:shd w:fill="D6E4F0" w:val="clear"/>
        </w:rPr>
        <w:t>B项错误</w:t>
      </w:r>
    </w:p>
    <w:p>
      <w:pPr>
        <w:spacing w:line="360" w:lineRule="auto" w:after="40"/>
        <w:ind w:firstLine="420"/>
      </w:pPr>
      <w:r>
        <w:t>游客用信用卡购买筹码、参与高额赌局后套现，呈现的是典型赌场消费行为，没有明显偏离预期。教材</w:t>
      </w:r>
      <w:r>
        <w:rPr>
          <w:sz w:val="15"/>
          <w:vertAlign w:val="superscript"/>
        </w:rPr>
        <w:t>P69</w:t>
      </w:r>
      <w:r>
        <w:t>指出信用卡账户更多被用于离析和融合阶段，且用于购买筹码并套现在此场景下属于正常博彩活动，不具备指向洗钱的异常要素，因此其调查紧迫性远低于直接不赌即提现的C项。</w:t>
      </w:r>
    </w:p>
    <w:p>
      <w:pPr>
        <w:spacing w:before="120" w:after="40"/>
      </w:pPr>
      <w:r>
        <w:rPr>
          <w:b/>
          <w:sz w:val="21"/>
          <w:shd w:fill="D6E4F0" w:val="clear"/>
        </w:rPr>
        <w:t>D项错误</w:t>
      </w:r>
    </w:p>
    <w:p>
      <w:pPr>
        <w:spacing w:line="360" w:lineRule="auto" w:after="40"/>
        <w:ind w:firstLine="420"/>
      </w:pPr>
      <w:r>
        <w:t>该玩家以预付借记卡进行低注额游戏，且为偶尔光顾，交易特征与金额均未显示异常。教材</w:t>
      </w:r>
      <w:r>
        <w:rPr>
          <w:sz w:val="15"/>
          <w:vertAlign w:val="superscript"/>
        </w:rPr>
        <w:t>P68</w:t>
      </w:r>
      <w:r>
        <w:t>提到借记卡因关联银行账户及反洗钱控制而风险有所缓解，低注额更降低了可疑程度，与C项的大额、多资金来源且无赌博行为相比，需要调查的理由明显不足。</w:t>
      </w:r>
    </w:p>
    <w:p>
      <w:pPr>
        <w:spacing w:before="120" w:after="40"/>
      </w:pPr>
      <w:r>
        <w:rPr>
          <w:b/>
          <w:sz w:val="21"/>
          <w:shd w:fill="D6E4F0" w:val="clear"/>
        </w:rPr>
        <w:t>易错提醒</w:t>
      </w:r>
    </w:p>
    <w:p>
      <w:pPr>
        <w:spacing w:line="360" w:lineRule="auto" w:after="40"/>
        <w:ind w:firstLine="420"/>
      </w:pPr>
      <w:r>
        <w:t>教材将赌场洗钱的典型手法描述为“购买筹码→赌博→兑现”</w:t>
      </w:r>
      <w:r>
        <w:rPr>
          <w:sz w:val="15"/>
          <w:vertAlign w:val="superscript"/>
        </w:rPr>
        <w:t>P120</w:t>
      </w:r>
      <w:r>
        <w:t>，环节中赌博是关键“清洗”动作，用于掩饰资金性质。直接将小额现金换为大额支票（选项A）或正常赌博后套现（选项B）都不具备该链条中跳过赌博直接兑现的异常性。若要进一步调查，应优先聚焦于无实际赌博行为的大额筹码兑现。</w:t>
      </w:r>
    </w:p>
    <w:p>
      <w:pPr>
        <w:spacing w:line="360" w:lineRule="auto" w:after="120"/>
      </w:pPr>
      <w:r/>
    </w:p>
    <w:p>
      <w:pPr>
        <w:spacing w:line="360" w:lineRule="auto" w:after="40"/>
      </w:pPr>
      <w:r>
        <w:t>10. A real estate buyer purchases multiple high-value properties in cash through a series of transactions in a short period of time and without any clear economic justification. Which of the following is the most likely money laundering risk associated with this behavior in the real estate sector? ( )</w:t>
      </w:r>
    </w:p>
    <w:p>
      <w:pPr>
        <w:spacing w:line="360" w:lineRule="auto" w:after="20"/>
        <w:ind w:firstLine="283"/>
      </w:pPr>
      <w:r>
        <w:t>A. The buyer is using high-value real estate transactions to obscure the origin of the funds</w:t>
      </w:r>
    </w:p>
    <w:p>
      <w:pPr>
        <w:spacing w:line="360" w:lineRule="auto" w:after="20"/>
        <w:ind w:firstLine="283"/>
      </w:pPr>
      <w:r>
        <w:t>B. The buyer is quickly diversifying their investment portfolio through structuring payments in order to take advantage of the liquidity of cash transactions in real estate</w:t>
      </w:r>
    </w:p>
    <w:p>
      <w:pPr>
        <w:spacing w:line="360" w:lineRule="auto" w:after="20"/>
        <w:ind w:firstLine="283"/>
      </w:pPr>
      <w:r>
        <w:t>C. The buyer is capitalizing on favorable market conditions and using cash purchases to outbid competitors in a competitive real estate market</w:t>
      </w:r>
    </w:p>
    <w:p>
      <w:pPr>
        <w:spacing w:line="360" w:lineRule="auto" w:after="20"/>
        <w:ind w:firstLine="283"/>
      </w:pPr>
      <w:r>
        <w:t>D. The buyer is a real estate developer acquiring multiple properties with business partners located in high-risk jurisdictions for potential redevelopment projects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识别房地产洗钱中“全现金购买”+“无经济理由”组合构成的红旗信号</w:t>
      </w:r>
    </w:p>
    <w:p>
      <w:pPr>
        <w:spacing w:before="120" w:after="40"/>
      </w:pPr>
      <w:r>
        <w:rPr>
          <w:b/>
          <w:sz w:val="21"/>
          <w:shd w:fill="D6E4F0" w:val="clear"/>
        </w:rPr>
        <w:t>核心解析</w:t>
      </w:r>
    </w:p>
    <w:p>
      <w:pPr>
        <w:spacing w:line="360" w:lineRule="auto" w:after="40"/>
        <w:ind w:firstLine="420"/>
      </w:pPr>
      <w:r>
        <w:t>教材将全部或主要用现金支付列为房地产洗钱的重点红旗信号</w:t>
      </w:r>
      <w:r>
        <w:rPr>
          <w:sz w:val="15"/>
          <w:vertAlign w:val="superscript"/>
        </w:rPr>
        <w:t>P122</w:t>
      </w:r>
      <w:r>
        <w:t>，同时指出犯罪分子会利用购买高价值房产将非法资金融入合法经济</w:t>
      </w:r>
      <w:r>
        <w:rPr>
          <w:sz w:val="15"/>
          <w:vertAlign w:val="superscript"/>
        </w:rPr>
        <w:t>P121</w:t>
      </w:r>
      <w:r>
        <w:t>。题干中，买方“在短时间内通过一系列交易用现金购买了多处高价值房产”且“没有任何明确的经济理由”。这两点恰好同时命中上述红旗：高价值资产可以吸收大额非法资金，现金则切断资金与银行系统的可追踪路径，而缺乏经济理由进一步排除了正当投资目的的可能性。由此可推断，该买家的行为最直接对应的洗钱风险就是利用房地产交易来掩盖资金的非法来源，即选项A所述。</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B项错误</w:t>
      </w:r>
    </w:p>
    <w:p>
      <w:pPr>
        <w:spacing w:line="360" w:lineRule="auto" w:after="40"/>
        <w:ind w:firstLine="420"/>
      </w:pPr>
      <w:r>
        <w:t>题干已明确行为“没有任何明确的经济理由”，而选项B将其解释为投资组合多元化及利用流动性，相当于为行为提供了一种合理经济目的，与题干条件直接冲突。相比之下，A项直接对应“无理由+大量现金”这一洗钱风险组合，匹配度更高。</w:t>
      </w:r>
    </w:p>
    <w:p>
      <w:pPr>
        <w:spacing w:before="120" w:after="40"/>
      </w:pPr>
      <w:r>
        <w:rPr>
          <w:b/>
          <w:sz w:val="21"/>
          <w:shd w:fill="D6E4F0" w:val="clear"/>
        </w:rPr>
        <w:t>C项错误</w:t>
      </w:r>
    </w:p>
    <w:p>
      <w:pPr>
        <w:spacing w:line="360" w:lineRule="auto" w:after="40"/>
        <w:ind w:firstLine="420"/>
      </w:pPr>
      <w:r>
        <w:t>教材在加密资产部分提及内幕交易属于市场滥用</w:t>
      </w:r>
      <w:r>
        <w:rPr>
          <w:sz w:val="15"/>
          <w:vertAlign w:val="superscript"/>
        </w:rPr>
        <w:t>P193</w:t>
      </w:r>
      <w:r>
        <w:t>，但本题场景为房地产，且题干未提及市场条件、竞争优势或内幕消息等要素。C项引入的“内幕消息”远离教材对房地产洗钱风险的典型描述，不如A项直接对应现金掩盖来源的风险。</w:t>
      </w:r>
    </w:p>
    <w:p>
      <w:pPr>
        <w:spacing w:before="120" w:after="40"/>
      </w:pPr>
      <w:r>
        <w:rPr>
          <w:b/>
          <w:sz w:val="21"/>
          <w:shd w:fill="D6E4F0" w:val="clear"/>
        </w:rPr>
        <w:t>D项错误</w:t>
      </w:r>
    </w:p>
    <w:p>
      <w:pPr>
        <w:spacing w:line="360" w:lineRule="auto" w:after="40"/>
        <w:ind w:firstLine="420"/>
      </w:pPr>
      <w:r>
        <w:t>选项D给出了买方身份（开发商）和商业理由（再开发），这与题干“无经济理由”相矛盾。虽然教材提到来自高风险司法管辖区或通过公司等结构购买可构成风险（P121 – 122），但题干并未提示买家自身位于高风险法域，且该选项的核心是为行为提供了正当目的，匹配度显然不如A项直接揭示的掩盖来源风险。</w:t>
      </w:r>
    </w:p>
    <w:p>
      <w:pPr>
        <w:spacing w:before="120" w:after="40"/>
      </w:pPr>
      <w:r>
        <w:rPr>
          <w:b/>
          <w:sz w:val="21"/>
          <w:shd w:fill="D6E4F0" w:val="clear"/>
        </w:rPr>
        <w:t>易错提醒</w:t>
      </w:r>
    </w:p>
    <w:p>
      <w:pPr>
        <w:spacing w:line="360" w:lineRule="auto" w:after="40"/>
        <w:ind w:firstLine="420"/>
      </w:pPr>
      <w:r>
        <w:t>看到现金购房就联想合法投资，或看到“高风险司法管辖区”就认定是洗钱，都不对。教材的关键区分在于：行为是否缺乏合理经济解释，以及是否大量使用难以追踪的现金</w:t>
      </w:r>
      <w:r>
        <w:rPr>
          <w:sz w:val="15"/>
          <w:vertAlign w:val="superscript"/>
        </w:rPr>
        <w:t>P122</w:t>
      </w:r>
      <w:r>
        <w:t>。若选项同时提供合法身份和正当商业目的，哪怕涉及高风险法域，也需要更多红旗才能判定匹配洗钱风险。</w:t>
      </w:r>
    </w:p>
    <w:p>
      <w:pPr>
        <w:spacing w:line="360" w:lineRule="auto" w:after="120"/>
      </w:pPr>
      <w:r/>
    </w:p>
    <w:p>
      <w:pPr>
        <w:spacing w:line="360" w:lineRule="auto" w:after="40"/>
      </w:pPr>
      <w:r>
        <w:t>11. When services are provided by a trust and company service provider (TCSP) connected to a high-risk country, which of the following may present an immediate financial crime risk concern? ( )</w:t>
      </w:r>
    </w:p>
    <w:p>
      <w:pPr>
        <w:spacing w:line="360" w:lineRule="auto" w:after="20"/>
        <w:ind w:firstLine="283"/>
      </w:pPr>
      <w:r>
        <w:t>A. Management structure</w:t>
      </w:r>
    </w:p>
    <w:p>
      <w:pPr>
        <w:spacing w:line="360" w:lineRule="auto" w:after="20"/>
        <w:ind w:firstLine="283"/>
      </w:pPr>
      <w:r>
        <w:t>B. Governance framework</w:t>
      </w:r>
    </w:p>
    <w:p>
      <w:pPr>
        <w:spacing w:line="360" w:lineRule="auto" w:after="20"/>
        <w:ind w:firstLine="283"/>
      </w:pPr>
      <w:r>
        <w:t>C. Asset structure</w:t>
      </w:r>
    </w:p>
    <w:p>
      <w:pPr>
        <w:spacing w:line="360" w:lineRule="auto" w:after="20"/>
        <w:ind w:firstLine="283"/>
      </w:pPr>
      <w:r>
        <w:t>D. Origin of the funds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识别TCSP掩盖资金来源这一核心洗钱风险</w:t>
      </w:r>
    </w:p>
    <w:p>
      <w:pPr>
        <w:spacing w:before="120" w:after="40"/>
      </w:pPr>
      <w:r>
        <w:rPr>
          <w:b/>
          <w:sz w:val="21"/>
          <w:shd w:fill="D6E4F0" w:val="clear"/>
        </w:rPr>
        <w:t>核心解析</w:t>
      </w:r>
    </w:p>
    <w:p>
      <w:pPr>
        <w:spacing w:line="360" w:lineRule="auto" w:after="40"/>
        <w:ind w:firstLine="420"/>
      </w:pPr>
      <w:r>
        <w:t>教材指出，信托或公司服务提供商建立的架构会掩盖受益所有人和“资金来源”</w:t>
      </w:r>
      <w:r>
        <w:rPr>
          <w:sz w:val="15"/>
          <w:vertAlign w:val="superscript"/>
        </w:rPr>
        <w:t>P120</w:t>
      </w:r>
      <w:r>
        <w:t>。当TCSP与高风险国家关联时，审查其资金来源是否合法，成为反洗钱工作中“立即”被引发的关注点，因为非法资金正是通过这种结构，将犯罪所得伪装成合法投资</w:t>
      </w:r>
      <w:r>
        <w:rPr>
          <w:sz w:val="15"/>
          <w:vertAlign w:val="superscript"/>
        </w:rPr>
        <w:t>P126</w:t>
      </w:r>
      <w:r>
        <w:t>。题干中的“高风险国家”进一步放大了资金来源不明的风险，使得选项D相比其他涉及内部管理的选项，更直接匹配教材定义的核心威胁。</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p>
    <w:p>
      <w:pPr>
        <w:spacing w:before="120" w:after="40"/>
      </w:pPr>
      <w:r>
        <w:rPr>
          <w:b/>
          <w:sz w:val="21"/>
          <w:shd w:fill="D6E4F0" w:val="clear"/>
        </w:rPr>
        <w:t>A项错误</w:t>
      </w:r>
    </w:p>
    <w:p>
      <w:pPr>
        <w:spacing w:line="360" w:lineRule="auto" w:after="40"/>
        <w:ind w:firstLine="420"/>
      </w:pPr>
      <w:r>
        <w:t>教材提到一些金融机构的“现有结构混乱，职责重叠”</w:t>
      </w:r>
      <w:r>
        <w:rPr>
          <w:sz w:val="15"/>
          <w:vertAlign w:val="superscript"/>
        </w:rPr>
        <w:t>P253</w:t>
      </w:r>
      <w:r>
        <w:t>，但这是在描述机构自身内控缺陷，而不是TCSP业务本身引发的风险。题干聚焦TCSP对外提供服务时，与高风险国家关联的直接金融犯罪风险点，相比之下，“管理结构”不如“资金来源”直接对应教材对TCSP风险的定义。</w:t>
      </w:r>
    </w:p>
    <w:p>
      <w:pPr>
        <w:spacing w:before="120" w:after="40"/>
      </w:pPr>
      <w:r>
        <w:rPr>
          <w:b/>
          <w:sz w:val="21"/>
          <w:shd w:fill="D6E4F0" w:val="clear"/>
        </w:rPr>
        <w:t>B项错误</w:t>
      </w:r>
    </w:p>
    <w:p>
      <w:pPr>
        <w:spacing w:line="360" w:lineRule="auto" w:after="40"/>
        <w:ind w:firstLine="420"/>
      </w:pPr>
      <w:r>
        <w:t>“稳健的治理结构是有效金融犯罪防控计划的基础”</w:t>
      </w:r>
      <w:r>
        <w:rPr>
          <w:sz w:val="15"/>
          <w:vertAlign w:val="superscript"/>
        </w:rPr>
        <w:t>P260</w:t>
      </w:r>
      <w:r>
        <w:t>，但其更偏向机构内部管控机制。题干描述的是TCSP对外业务关系中“立即引发”的风险，相比之下，内部治理框架是基础性要求，而非与高风险国家直接关联时最突出的即时风险信号。</w:t>
      </w:r>
    </w:p>
    <w:p>
      <w:pPr>
        <w:spacing w:before="120" w:after="40"/>
      </w:pPr>
      <w:r>
        <w:rPr>
          <w:b/>
          <w:sz w:val="21"/>
          <w:shd w:fill="D6E4F0" w:val="clear"/>
        </w:rPr>
        <w:t>C项错误</w:t>
      </w:r>
    </w:p>
    <w:p>
      <w:pPr>
        <w:spacing w:line="360" w:lineRule="auto" w:after="40"/>
        <w:ind w:firstLine="420"/>
      </w:pPr>
      <w:r>
        <w:t>数字资产价值转移的结构与传统金融交易类似</w:t>
      </w:r>
      <w:r>
        <w:rPr>
          <w:sz w:val="15"/>
          <w:vertAlign w:val="superscript"/>
        </w:rPr>
        <w:t>P434</w:t>
      </w:r>
      <w:r>
        <w:t>，但题干并未涉及数字资产这个要素。虽然TCSP确实可能构建复杂资产结构来掩盖所有权，但教材强调的是其掩盖“资金来源”的能力，资产结构的复杂性是这个目标的手段，而非最直接的关注点。</w:t>
      </w:r>
    </w:p>
    <w:p>
      <w:pPr>
        <w:spacing w:before="120" w:after="40"/>
      </w:pPr>
      <w:r>
        <w:rPr>
          <w:b/>
          <w:sz w:val="21"/>
          <w:shd w:fill="D6E4F0" w:val="clear"/>
        </w:rPr>
        <w:t>易错提醒</w:t>
      </w:r>
    </w:p>
    <w:p>
      <w:pPr>
        <w:spacing w:line="360" w:lineRule="auto" w:after="40"/>
        <w:ind w:firstLine="420"/>
      </w:pPr>
      <w:r>
        <w:t>出题人可能用“管理结构”和“治理框架”来迷惑考生，让考生误以为与高风险国家往来时，对方机构不健全的内控是首要风险。但教材在定义TCSP风险时，核心威胁是其行为可能掩盖“资金来源”，而对方机构的管理或治理只是这种风险发生的环境，不是风险本身。</w:t>
      </w:r>
    </w:p>
    <w:p>
      <w:pPr>
        <w:spacing w:line="360" w:lineRule="auto" w:after="120"/>
      </w:pPr>
      <w:r/>
    </w:p>
    <w:p>
      <w:pPr>
        <w:spacing w:line="360" w:lineRule="auto" w:after="40"/>
      </w:pPr>
      <w:r>
        <w:t>12. A trust and company services provider that offers a variety of services to businesses is approached by a client interested in establishing a new company. The client requests assistance with the incorporation process, a local business address, annual maintenance services, and the designation of individuals to serve in official capacities for the new company. Which of the following services involves a higher money laundering risk? ( )</w:t>
      </w:r>
    </w:p>
    <w:p>
      <w:pPr>
        <w:spacing w:line="360" w:lineRule="auto" w:after="20"/>
        <w:ind w:firstLine="283"/>
      </w:pPr>
      <w:r>
        <w:t>A. Appointing individuals to serve in official capacities of the company</w:t>
      </w:r>
    </w:p>
    <w:p>
      <w:pPr>
        <w:spacing w:line="360" w:lineRule="auto" w:after="20"/>
        <w:ind w:firstLine="283"/>
      </w:pPr>
      <w:r>
        <w:t>B. Annual maintenance services</w:t>
      </w:r>
    </w:p>
    <w:p>
      <w:pPr>
        <w:spacing w:line="360" w:lineRule="auto" w:after="20"/>
        <w:ind w:firstLine="283"/>
      </w:pPr>
      <w:r>
        <w:t>C. Provision of a local business address</w:t>
      </w:r>
    </w:p>
    <w:p>
      <w:pPr>
        <w:spacing w:line="360" w:lineRule="auto" w:after="20"/>
        <w:ind w:firstLine="283"/>
      </w:pPr>
      <w:r>
        <w:t>D. Company incorporation services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识别“任命自然人担任公司官方职务”（名义服务）隐藏最终受益所有人的高风险特征</w:t>
      </w:r>
    </w:p>
    <w:p>
      <w:pPr>
        <w:spacing w:before="120" w:after="40"/>
      </w:pPr>
      <w:r>
        <w:rPr>
          <w:b/>
          <w:sz w:val="21"/>
          <w:shd w:fill="D6E4F0" w:val="clear"/>
        </w:rPr>
        <w:t>核心解析</w:t>
      </w:r>
    </w:p>
    <w:p>
      <w:pPr>
        <w:spacing w:line="360" w:lineRule="auto" w:after="40"/>
        <w:ind w:firstLine="420"/>
      </w:pPr>
      <w:r>
        <w:t>信托与公司服务提供商（TCSP）常提供名义服务，由第三方代表客户担任董事、高管或股东</w:t>
      </w:r>
      <w:r>
        <w:rPr>
          <w:sz w:val="15"/>
          <w:vertAlign w:val="superscript"/>
        </w:rPr>
        <w:t>P127</w:t>
      </w:r>
      <w:r>
        <w:t>。这类名义董事或股东可被用于隐藏最终受益所有人（UBO）身份，通过模糊化增加洗钱风险</w:t>
      </w:r>
      <w:r>
        <w:rPr>
          <w:sz w:val="15"/>
          <w:vertAlign w:val="superscript"/>
        </w:rPr>
        <w:t>P127</w:t>
      </w:r>
      <w:r>
        <w:t>。本题中，客户请求指定人员担任新公司的法定职务，正属于名义服务，会直接制造所有权匿名层，从而较其他三项常规行政服务（公司注册、提供地址、年度维护）带来更高的洗钱风险。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B项错误</w:t>
      </w:r>
    </w:p>
    <w:p>
      <w:pPr>
        <w:spacing w:line="360" w:lineRule="auto" w:after="40"/>
        <w:ind w:firstLine="420"/>
      </w:pPr>
      <w:r>
        <w:t>年度维护服务属于公司秘书的常规职责，如维护记录、提交年报</w:t>
      </w:r>
      <w:r>
        <w:rPr>
          <w:sz w:val="15"/>
          <w:vertAlign w:val="superscript"/>
        </w:rPr>
        <w:t>P126</w:t>
      </w:r>
      <w:r>
        <w:t>，其本身并不像名义服务那样直接制造匿名层或隐藏UBO，因此风险相对较低。</w:t>
      </w:r>
    </w:p>
    <w:p>
      <w:pPr>
        <w:spacing w:before="120" w:after="40"/>
      </w:pPr>
      <w:r>
        <w:rPr>
          <w:b/>
          <w:sz w:val="21"/>
          <w:shd w:fill="D6E4F0" w:val="clear"/>
        </w:rPr>
        <w:t>C项错误</w:t>
      </w:r>
    </w:p>
    <w:p>
      <w:pPr>
        <w:spacing w:line="360" w:lineRule="auto" w:after="40"/>
        <w:ind w:firstLine="420"/>
      </w:pPr>
      <w:r>
        <w:t>提供本地营业地址在教材中未被列为TCSP的高风险活动，属于公司设立的配套行政事项，题干更支持把任命自然人担任职务认定为高风险。</w:t>
      </w:r>
    </w:p>
    <w:p>
      <w:pPr>
        <w:spacing w:before="120" w:after="40"/>
      </w:pPr>
      <w:r>
        <w:rPr>
          <w:b/>
          <w:sz w:val="21"/>
          <w:shd w:fill="D6E4F0" w:val="clear"/>
        </w:rPr>
        <w:t>D项错误</w:t>
      </w:r>
    </w:p>
    <w:p>
      <w:pPr>
        <w:spacing w:line="360" w:lineRule="auto" w:after="40"/>
        <w:ind w:firstLine="420"/>
      </w:pPr>
      <w:r>
        <w:t>公司注册服务是TCSP的基本服务，教材指出只有当涉及现成公司或离岸公司时风险才会显著上升</w:t>
      </w:r>
      <w:r>
        <w:rPr>
          <w:sz w:val="15"/>
          <w:vertAlign w:val="superscript"/>
        </w:rPr>
        <w:t>P127</w:t>
      </w:r>
      <w:r>
        <w:t>，而本题未指明这些特殊情形，因此该一般服务与题干条件的匹配度不如名义服务直接。</w:t>
      </w:r>
    </w:p>
    <w:p>
      <w:pPr>
        <w:spacing w:before="120" w:after="40"/>
      </w:pPr>
      <w:r>
        <w:rPr>
          <w:b/>
          <w:sz w:val="21"/>
          <w:shd w:fill="D6E4F0" w:val="clear"/>
        </w:rPr>
        <w:t>易错提醒</w:t>
      </w:r>
    </w:p>
    <w:p>
      <w:pPr>
        <w:spacing w:line="360" w:lineRule="auto" w:after="40"/>
        <w:ind w:firstLine="420"/>
      </w:pPr>
      <w:r>
        <w:t>学生可能认为公司注册服务即为高风险，但教材强调TCSP特有的高风险在于名义服务——由第三方担任董事或股东以隐匿UBO</w:t>
      </w:r>
      <w:r>
        <w:rPr>
          <w:sz w:val="15"/>
          <w:vertAlign w:val="superscript"/>
        </w:rPr>
        <w:t>P127</w:t>
      </w:r>
      <w:r>
        <w:t>。一般公司注册若无现成公司或离岸设立的特征，并不必然带来同等风险。</w:t>
      </w:r>
    </w:p>
    <w:p>
      <w:pPr>
        <w:spacing w:line="360" w:lineRule="auto" w:after="120"/>
      </w:pPr>
      <w:r/>
    </w:p>
    <w:p>
      <w:pPr>
        <w:spacing w:line="360" w:lineRule="auto" w:after="40"/>
      </w:pPr>
      <w:r>
        <w:t>13. Which of the following is a broader risk specific to casinos and gambling? ( )</w:t>
      </w:r>
    </w:p>
    <w:p>
      <w:pPr>
        <w:spacing w:line="360" w:lineRule="auto" w:after="20"/>
        <w:ind w:firstLine="283"/>
      </w:pPr>
      <w:r>
        <w:t>A. Low thresholds for transactions</w:t>
      </w:r>
    </w:p>
    <w:p>
      <w:pPr>
        <w:spacing w:line="360" w:lineRule="auto" w:after="20"/>
        <w:ind w:firstLine="283"/>
      </w:pPr>
      <w:r>
        <w:t>B. Cross-border transactions</w:t>
      </w:r>
    </w:p>
    <w:p>
      <w:pPr>
        <w:spacing w:line="360" w:lineRule="auto" w:after="20"/>
        <w:ind w:firstLine="283"/>
      </w:pPr>
      <w:r>
        <w:t>C. Weak KYC policies and procedures</w:t>
      </w:r>
    </w:p>
    <w:p>
      <w:pPr>
        <w:spacing w:line="360" w:lineRule="auto" w:after="20"/>
        <w:ind w:firstLine="283"/>
      </w:pPr>
      <w:r>
        <w:t>D. Frequent use of cash</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识别赌场与赌博业特有的跨司法管辖区风险因素</w:t>
      </w:r>
    </w:p>
    <w:p>
      <w:pPr>
        <w:spacing w:before="120" w:after="40"/>
      </w:pPr>
      <w:r>
        <w:rPr>
          <w:b/>
          <w:sz w:val="21"/>
          <w:shd w:fill="D6E4F0" w:val="clear"/>
        </w:rPr>
        <w:t>核心解析</w:t>
      </w:r>
    </w:p>
    <w:p>
      <w:pPr>
        <w:spacing w:line="360" w:lineRule="auto" w:after="40"/>
        <w:ind w:firstLine="420"/>
      </w:pPr>
      <w:r>
        <w:t>教材在阐述“博彩业风险因素”时明确指出，该行业特有的、更广泛的固有风险包括三个维度：碎片化的监管环境、活动的跨境属性以及准金融服务的提供</w:t>
      </w:r>
      <w:r>
        <w:rPr>
          <w:sz w:val="15"/>
          <w:vertAlign w:val="superscript"/>
        </w:rPr>
        <w:t>P120</w:t>
      </w:r>
      <w:r>
        <w:t>。题干问的是“赌场和赌博业特有的更广泛风险”，其中的“跨境交易”直接对应于教材中“跨境属性”这一风险维度。这种跨境特征源于赌场经营模式本身——国际赌客群体、离岸在线博彩平台、跨国资金流动等，属于行业固有的结构性风险，而非其他行业普遍存在的操作性短板。相比之下，题干其他选项要么是该行业与其他现金密集型行业共有的特征，要么是普遍性的合规薄弱问题。</w:t>
      </w:r>
    </w:p>
    <w:p>
      <w:pPr>
        <w:spacing w:before="120" w:after="40"/>
      </w:pPr>
      <w:r>
        <w:rPr>
          <w:b/>
          <w:sz w:val="21"/>
          <w:shd w:fill="D6E4F0" w:val="clear"/>
        </w:rPr>
        <w:t>教材原句</w:t>
      </w:r>
    </w:p>
    <w:p>
      <w:pPr>
        <w:spacing w:line="360" w:lineRule="auto" w:after="40"/>
        <w:ind w:firstLine="420"/>
      </w:pPr>
      <w:r>
        <w:t>"These include risks associated with a fragmented regulatory environment, the cross-border nature of activities, and the offering of quasi-financial services."</w:t>
      </w:r>
    </w:p>
    <w:p>
      <w:pPr>
        <w:spacing w:before="120" w:after="40"/>
      </w:pPr>
      <w:r>
        <w:rPr>
          <w:b/>
          <w:sz w:val="21"/>
          <w:shd w:fill="D6E4F0" w:val="clear"/>
        </w:rPr>
        <w:t>A项错误</w:t>
      </w:r>
    </w:p>
    <w:p>
      <w:pPr>
        <w:spacing w:line="360" w:lineRule="auto" w:after="40"/>
        <w:ind w:firstLine="420"/>
      </w:pPr>
      <w:r>
        <w:t>题干未提及赌场或赌博业的“交易阈值”设定标准。“低阈值”也不是该行业独有风险——各行业、各类金融机构的交易监控阈值均由自身风险偏好和监管要求决定，不同司法管辖区、不同运营商之间阈值差异巨大，不足以作为赌场“特有的”风险。相比之下，教材列出的跨境属性更具行业辨识度。</w:t>
      </w:r>
    </w:p>
    <w:p>
      <w:pPr>
        <w:spacing w:before="120" w:after="40"/>
      </w:pPr>
      <w:r>
        <w:rPr>
          <w:b/>
          <w:sz w:val="21"/>
          <w:shd w:fill="D6E4F0" w:val="clear"/>
        </w:rPr>
        <w:t>C项错误</w:t>
      </w:r>
    </w:p>
    <w:p>
      <w:pPr>
        <w:spacing w:line="360" w:lineRule="auto" w:after="40"/>
        <w:ind w:firstLine="420"/>
      </w:pPr>
      <w:r>
        <w:t>教材将“薄弱的检查程序”和“不足的记录保存”等弱点归入自由贸易区（FTZ）的系统性缺陷</w:t>
      </w:r>
      <w:r>
        <w:rPr>
          <w:sz w:val="15"/>
          <w:vertAlign w:val="superscript"/>
        </w:rPr>
        <w:t>P133</w:t>
      </w:r>
      <w:r>
        <w:t>，并由FATF指出。薄弱的KYC政策是反洗钱合规体系的普遍问题，并非赌场行业“特有”——银行、律所、房地产等行业同样面临这一风险。题干更直接匹配教材为博彩业界定的跨境风险维度。</w:t>
      </w:r>
    </w:p>
    <w:p>
      <w:pPr>
        <w:spacing w:before="120" w:after="40"/>
      </w:pPr>
      <w:r>
        <w:rPr>
          <w:b/>
          <w:sz w:val="21"/>
          <w:shd w:fill="D6E4F0" w:val="clear"/>
        </w:rPr>
        <w:t>D项错误</w:t>
      </w:r>
    </w:p>
    <w:p>
      <w:pPr>
        <w:spacing w:line="360" w:lineRule="auto" w:after="40"/>
        <w:ind w:firstLine="420"/>
      </w:pPr>
      <w:r>
        <w:t>“频繁使用现金”确实是赌场的显著特征，教材举例赌场和汽车经销商等现金密集型行业处理大额现金交易</w:t>
      </w:r>
      <w:r>
        <w:rPr>
          <w:sz w:val="15"/>
          <w:vertAlign w:val="superscript"/>
        </w:rPr>
        <w:t>P65</w:t>
      </w:r>
      <w:r>
        <w:t>。但这一风险因素并非赌场“特有”——教材在同一段落中同时列举餐馆、便利店、美甲店等其他现金密集型行业</w:t>
      </w:r>
      <w:r>
        <w:rPr>
          <w:sz w:val="15"/>
          <w:vertAlign w:val="superscript"/>
        </w:rPr>
        <w:t>P65</w:t>
      </w:r>
      <w:r>
        <w:t>，说明频繁使用现金是这些行业共有的风险，而非赌场的排他性特征。题干问的是“特有的”（specific to），跨境属性更符合这一限定。</w:t>
      </w:r>
    </w:p>
    <w:p>
      <w:pPr>
        <w:spacing w:before="120" w:after="40"/>
      </w:pPr>
      <w:r>
        <w:rPr>
          <w:b/>
          <w:sz w:val="21"/>
          <w:shd w:fill="D6E4F0" w:val="clear"/>
        </w:rPr>
        <w:t>易错提醒</w:t>
      </w:r>
    </w:p>
    <w:p>
      <w:pPr>
        <w:spacing w:line="360" w:lineRule="auto" w:after="40"/>
        <w:ind w:firstLine="420"/>
      </w:pPr>
      <w:r>
        <w:t>“频繁使用现金”与“跨境交易”的关键区分在于排他性。教材将赌场列为现金密集型行业之一，与其他行业共享这一特征</w:t>
      </w:r>
      <w:r>
        <w:rPr>
          <w:sz w:val="15"/>
          <w:vertAlign w:val="superscript"/>
        </w:rPr>
        <w:t>P65</w:t>
      </w:r>
      <w:r>
        <w:t>；而“跨境属性”被教材单独界定为博彩业内生的三大风险维度之一</w:t>
      </w:r>
      <w:r>
        <w:rPr>
          <w:sz w:val="15"/>
          <w:vertAlign w:val="superscript"/>
        </w:rPr>
        <w:t>P120</w:t>
      </w:r>
      <w:r>
        <w:t>，具有行业专属的结构性根源。判断“特有的”风险时，应看该风险因子是否源于行业独特的业务模式，而非多个行业的共同特征。</w:t>
      </w:r>
    </w:p>
    <w:p>
      <w:pPr>
        <w:spacing w:line="360" w:lineRule="auto" w:after="120"/>
      </w:pPr>
      <w:r/>
    </w:p>
    <w:p>
      <w:pPr>
        <w:spacing w:line="360" w:lineRule="auto" w:after="40"/>
      </w:pPr>
      <w:r>
        <w:t>14. Which method could be used in the placement stage of money laundering in the real estate sector? ( )</w:t>
      </w:r>
    </w:p>
    <w:p>
      <w:pPr>
        <w:spacing w:line="360" w:lineRule="auto" w:after="20"/>
        <w:ind w:firstLine="283"/>
      </w:pPr>
      <w:r>
        <w:t>A. Paying an invoice to a media company via online banking for property marketing</w:t>
      </w:r>
    </w:p>
    <w:p>
      <w:pPr>
        <w:spacing w:line="360" w:lineRule="auto" w:after="20"/>
        <w:ind w:firstLine="283"/>
      </w:pPr>
      <w:r>
        <w:t>B. Using a registered trust to transfer ownership</w:t>
      </w:r>
    </w:p>
    <w:p>
      <w:pPr>
        <w:spacing w:line="360" w:lineRule="auto" w:after="20"/>
        <w:ind w:firstLine="283"/>
      </w:pPr>
      <w:r>
        <w:t>C. Using cash to purchase property</w:t>
      </w:r>
    </w:p>
    <w:p>
      <w:pPr>
        <w:spacing w:line="360" w:lineRule="auto" w:after="20"/>
        <w:ind w:firstLine="283"/>
      </w:pPr>
      <w:r>
        <w:t>D. Bringing a property back to market quickly after purchasing it</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识别房地产场景下的 placement 阶段特征</w:t>
      </w:r>
    </w:p>
    <w:p>
      <w:pPr>
        <w:spacing w:before="120" w:after="40"/>
      </w:pPr>
      <w:r>
        <w:rPr>
          <w:b/>
          <w:sz w:val="21"/>
          <w:shd w:fill="D6E4F0" w:val="clear"/>
        </w:rPr>
        <w:t>核心解析</w:t>
      </w:r>
    </w:p>
    <w:p>
      <w:pPr>
        <w:spacing w:line="360" w:lineRule="auto" w:after="40"/>
        <w:ind w:firstLine="420"/>
      </w:pPr>
      <w:r>
        <w:t>洗钱三阶段中，置入阶段（Placement）的核心是将犯罪产生的“脏钱”首次投入金融系统或购买资产，使其进入合法流通渠道</w:t>
      </w:r>
      <w:r>
        <w:rPr>
          <w:sz w:val="15"/>
          <w:vertAlign w:val="superscript"/>
        </w:rPr>
        <w:t>P16</w:t>
      </w:r>
      <w:r>
        <w:t>。在房地产领域，用现金购买房产是直接将非法资金转化为实体资产，吻合置入阶段的行为特征。教材将“全部或主要用现金支付的买家”列为房地产洗钱的典型危险信号</w:t>
      </w:r>
      <w:r>
        <w:rPr>
          <w:sz w:val="15"/>
          <w:vertAlign w:val="superscript"/>
        </w:rPr>
        <w:t>P122</w:t>
      </w:r>
      <w:r>
        <w:t>，进一步印证了该行为的高度匹配性。相比之下，选项A、B、D分别对应离析阶段（Layering）或融合阶段（Integration）的行为特征，与题干要求的“置入阶段”不直接匹配。</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“支付虚假发票”是教材明确列出的离析阶段（Layering）例子</w:t>
      </w:r>
      <w:r>
        <w:rPr>
          <w:sz w:val="15"/>
          <w:vertAlign w:val="superscript"/>
        </w:rPr>
        <w:t>P16</w:t>
      </w:r>
      <w:r>
        <w:t>，其目的是掩盖资金来源，而非将非法资金首次投入系统。题干更直接支持置入阶段的现金购买行为。</w:t>
      </w:r>
    </w:p>
    <w:p>
      <w:pPr>
        <w:spacing w:before="120" w:after="40"/>
      </w:pPr>
      <w:r>
        <w:rPr>
          <w:b/>
          <w:sz w:val="21"/>
          <w:shd w:fill="D6E4F0" w:val="clear"/>
        </w:rPr>
        <w:t>B项错误</w:t>
      </w:r>
    </w:p>
    <w:p>
      <w:pPr>
        <w:spacing w:line="360" w:lineRule="auto" w:after="40"/>
        <w:ind w:firstLine="420"/>
      </w:pPr>
      <w:r>
        <w:t>虽然利用信托、壳公司等结构隐瞒所有权是房地产洗钱的常见手段，但它主要用于离析或融合阶段，旨在隐藏真实受益人</w:t>
      </w:r>
      <w:r>
        <w:rPr>
          <w:sz w:val="15"/>
          <w:vertAlign w:val="superscript"/>
        </w:rPr>
        <w:t>P119、P121</w:t>
      </w:r>
      <w:r>
        <w:t>。题干问的是“置入阶段”，直接使用现金购买的匹配度更高。</w:t>
      </w:r>
    </w:p>
    <w:p>
      <w:pPr>
        <w:spacing w:before="120" w:after="40"/>
      </w:pPr>
      <w:r>
        <w:rPr>
          <w:b/>
          <w:sz w:val="21"/>
          <w:shd w:fill="D6E4F0" w:val="clear"/>
        </w:rPr>
        <w:t>D项错误</w:t>
      </w:r>
    </w:p>
    <w:p>
      <w:pPr>
        <w:spacing w:line="360" w:lineRule="auto" w:after="40"/>
        <w:ind w:firstLine="420"/>
      </w:pPr>
      <w:r>
        <w:t>“快速转手”属于洗钱融合阶段（Integration）的变现行为，即通过出售资产实现合法收益</w:t>
      </w:r>
      <w:r>
        <w:rPr>
          <w:sz w:val="15"/>
          <w:vertAlign w:val="superscript"/>
        </w:rPr>
        <w:t>P121、P122</w:t>
      </w:r>
      <w:r>
        <w:t>。题干要求的是将非法资金引入系统的方法，而非事后退出变现的行为。</w:t>
      </w:r>
    </w:p>
    <w:p>
      <w:pPr>
        <w:spacing w:before="120" w:after="40"/>
      </w:pPr>
      <w:r>
        <w:rPr>
          <w:b/>
          <w:sz w:val="21"/>
          <w:shd w:fill="D6E4F0" w:val="clear"/>
        </w:rPr>
        <w:t>易错提醒</w:t>
      </w:r>
    </w:p>
    <w:p>
      <w:pPr>
        <w:spacing w:line="360" w:lineRule="auto" w:after="40"/>
        <w:ind w:firstLine="420"/>
      </w:pPr>
      <w:r>
        <w:t>信托能分离资产的法定所有权与控制权</w:t>
      </w:r>
      <w:r>
        <w:rPr>
          <w:sz w:val="15"/>
          <w:vertAlign w:val="superscript"/>
        </w:rPr>
        <w:t>P73</w:t>
      </w:r>
      <w:r>
        <w:t>，常被误当作置入工具，但它本身是“隐藏所有权”的离析或融合手段；而置入阶段的核心是把“脏钱”变成“资产”，用现金直接购买是第一步。</w:t>
      </w:r>
    </w:p>
    <w:p>
      <w:pPr>
        <w:spacing w:line="360" w:lineRule="auto" w:after="120"/>
      </w:pPr>
      <w:r/>
    </w:p>
    <w:p>
      <w:pPr>
        <w:spacing w:line="360" w:lineRule="auto" w:after="40"/>
      </w:pPr>
      <w:r>
        <w:t>15. Which of the following statements best describes the financial crime risk associated with gatekeepers? ( )</w:t>
      </w:r>
    </w:p>
    <w:p>
      <w:pPr>
        <w:spacing w:line="360" w:lineRule="auto" w:after="20"/>
        <w:ind w:firstLine="283"/>
      </w:pPr>
      <w:r>
        <w:t>A. Gatekeepers have specialized knowledge that can be abused to facilitate the movement of illicit funds and conceal the involvement of their clients in illicit schemes.</w:t>
      </w:r>
    </w:p>
    <w:p>
      <w:pPr>
        <w:spacing w:line="360" w:lineRule="auto" w:after="20"/>
        <w:ind w:firstLine="283"/>
      </w:pPr>
      <w:r>
        <w:t>B. Gatekeeper positions are of a secretive nature, often making it difficult to verify their source of wealth.</w:t>
      </w:r>
    </w:p>
    <w:p>
      <w:pPr>
        <w:spacing w:line="360" w:lineRule="auto" w:after="20"/>
        <w:ind w:firstLine="283"/>
      </w:pPr>
      <w:r>
        <w:t>C. Gatekeepers have unique relationship structures, making it difficult to determine beneficial ownership.</w:t>
      </w:r>
    </w:p>
    <w:p>
      <w:pPr>
        <w:spacing w:line="360" w:lineRule="auto" w:after="20"/>
        <w:ind w:firstLine="283"/>
      </w:pPr>
      <w:r>
        <w:t>D. Gatekeepers are entrusted with prominent functions and codes of conduct that may facilitate money laundering activities.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识别守门人（DNFBP）的核心风险——专业知识被滥用于洗钱</w:t>
      </w:r>
    </w:p>
    <w:p>
      <w:pPr>
        <w:spacing w:before="120" w:after="40"/>
      </w:pPr>
      <w:r>
        <w:rPr>
          <w:b/>
          <w:sz w:val="21"/>
          <w:shd w:fill="D6E4F0" w:val="clear"/>
        </w:rPr>
        <w:t>核心解析</w:t>
      </w:r>
    </w:p>
    <w:p>
      <w:pPr>
        <w:spacing w:line="360" w:lineRule="auto" w:after="40"/>
        <w:ind w:firstLine="420"/>
      </w:pPr>
      <w:r>
        <w:t>DNFBP常被称为“守门人”，充当犯罪分子与金融系统之间的中介</w:t>
      </w:r>
      <w:r>
        <w:rPr>
          <w:sz w:val="15"/>
          <w:vertAlign w:val="superscript"/>
        </w:rPr>
        <w:t>P119</w:t>
      </w:r>
      <w:r>
        <w:t>。守门人的金融犯罪风险根源在于：他们掌握着法律、会计、房地产等领域的专门知识，这些知识一旦被滥用，就能为非法资金的流动提供便利，并掩盖客户参与非法活动的事实。教材指出，若缺乏保障措施，DNFBP容易被犯罪分子利用，通过隐藏非法资金来源、创建法律结构或处理高价值物品来实现洗钱目的</w:t>
      </w:r>
      <w:r>
        <w:rPr>
          <w:sz w:val="15"/>
          <w:vertAlign w:val="superscript"/>
        </w:rPr>
        <w:t>P119</w:t>
      </w:r>
      <w:r>
        <w:t>。选项A直接点出了这一核心风险链条——专业知识（specialized knowledge）→被滥用（abused）→便利资金流动并掩盖参与（facilitate movement and conceal involvement），完整匹配了教材对守门人风险的定义逻辑。其他选项要么偏离了守门人风险的根源（专业知识），要么将风险主体错配给了其他DNFBP子类或中介结构，在匹配度上均不如A项。</w:t>
      </w:r>
    </w:p>
    <w:p>
      <w:pPr>
        <w:spacing w:before="120" w:after="40"/>
      </w:pPr>
      <w:r>
        <w:rPr>
          <w:b/>
          <w:sz w:val="21"/>
          <w:shd w:fill="D6E4F0" w:val="clear"/>
        </w:rPr>
        <w:t>B项错误</w:t>
      </w:r>
    </w:p>
    <w:p>
      <w:pPr>
        <w:spacing w:line="360" w:lineRule="auto" w:after="40"/>
        <w:ind w:firstLine="420"/>
      </w:pPr>
      <w:r>
        <w:t>选项中“隐秘性使得难以验证其财富来源”描述的特性，在教材中更直接对应于现金交易的匿名性风险</w:t>
      </w:r>
      <w:r>
        <w:rPr>
          <w:sz w:val="15"/>
          <w:vertAlign w:val="superscript"/>
        </w:rPr>
        <w:t>P120</w:t>
      </w:r>
      <w:r>
        <w:t>，而非守门人本身的定位风险。题干未将守门人的风险根源指向其职位属性是否隐秘，在教材框架下，正确项对守门人风险的概括更直接。</w:t>
      </w:r>
    </w:p>
    <w:p>
      <w:pPr>
        <w:spacing w:before="120" w:after="40"/>
      </w:pPr>
      <w:r>
        <w:rPr>
          <w:b/>
          <w:sz w:val="21"/>
          <w:shd w:fill="D6E4F0" w:val="clear"/>
        </w:rPr>
        <w:t>C项错误</w:t>
      </w:r>
    </w:p>
    <w:p>
      <w:pPr>
        <w:spacing w:line="360" w:lineRule="auto" w:after="40"/>
        <w:ind w:firstLine="420"/>
      </w:pPr>
      <w:r>
        <w:t>“独特的关系结构导致难以确定最终受益人”在教材中对应的是信托或公司服务提供商设立的结构</w:t>
      </w:r>
      <w:r>
        <w:rPr>
          <w:sz w:val="15"/>
          <w:vertAlign w:val="superscript"/>
        </w:rPr>
        <w:t>P120</w:t>
      </w:r>
      <w:r>
        <w:t>，而非守门人群体整体的风险特征。正确项聚焦于守门人的专业知识被滥用，比将特定子类的结构风险上升为整体描述更准确。</w:t>
      </w:r>
    </w:p>
    <w:p>
      <w:pPr>
        <w:spacing w:before="120" w:after="40"/>
      </w:pPr>
      <w:r>
        <w:rPr>
          <w:b/>
          <w:sz w:val="21"/>
          <w:shd w:fill="D6E4F0" w:val="clear"/>
        </w:rPr>
        <w:t>D项错误</w:t>
      </w:r>
    </w:p>
    <w:p>
      <w:pPr>
        <w:spacing w:line="360" w:lineRule="auto" w:after="40"/>
        <w:ind w:firstLine="420"/>
      </w:pPr>
      <w:r>
        <w:t>该选项将守门人被赋予的“重要职能和行为准则”本身描述为可能有助于洗钱，但教材对守门人风险的分析落脚点在于其专业知识被犯罪分子利用，而非职能与准则本身构成洗钱便利。正确项更吻合教材对守门人风险根源的定位——专门知识被滥用。</w:t>
      </w:r>
    </w:p>
    <w:p>
      <w:pPr>
        <w:spacing w:before="120" w:after="40"/>
      </w:pPr>
      <w:r>
        <w:rPr>
          <w:b/>
          <w:sz w:val="21"/>
          <w:shd w:fill="D6E4F0" w:val="clear"/>
        </w:rPr>
        <w:t>易错提醒</w:t>
      </w:r>
    </w:p>
    <w:p>
      <w:pPr>
        <w:spacing w:line="360" w:lineRule="auto" w:after="40"/>
        <w:ind w:firstLine="420"/>
      </w:pPr>
      <w:r>
        <w:t>区分守门人风险的不同层面：①专业知识被滥用（A项，核心根源）；②其服务产生的结构本身掩盖受益人（C项，属于信托/公司服务提供商的特有风险，非全体守门人）；③职能本身成为洗钱便利（D项，教材未将职能本身定性为风险，风险在于缺乏保障措施时被利用）。</w:t>
      </w:r>
    </w:p>
    <w:p>
      <w:pPr>
        <w:spacing w:line="360" w:lineRule="auto" w:after="120"/>
      </w:pPr>
      <w:r/>
    </w:p>
    <w:p>
      <w:pPr>
        <w:spacing w:line="360" w:lineRule="auto" w:after="40"/>
      </w:pPr>
      <w:r>
        <w:t>16. Trust and company service providers (TCSPs) should address money laundering risk by: (Select three.) ( )</w:t>
      </w:r>
    </w:p>
    <w:p>
      <w:pPr>
        <w:spacing w:line="360" w:lineRule="auto" w:after="20"/>
        <w:ind w:firstLine="283"/>
      </w:pPr>
      <w:r>
        <w:t>A. Establishing dual controls and quality assurance practices when processing transactions for the client</w:t>
      </w:r>
    </w:p>
    <w:p>
      <w:pPr>
        <w:spacing w:line="360" w:lineRule="auto" w:after="20"/>
        <w:ind w:firstLine="283"/>
      </w:pPr>
      <w:r>
        <w:t>B. Considering what additional safeguards may be required when client instructions are given through another TCSP located in another jurisdiction</w:t>
      </w:r>
    </w:p>
    <w:p>
      <w:pPr>
        <w:spacing w:line="360" w:lineRule="auto" w:after="20"/>
        <w:ind w:firstLine="283"/>
      </w:pPr>
      <w:r>
        <w:t>C. Requiring the client to complete and submit an AML risk self-assessment to the jurisdiction's Financial Intelligence Unit (FIU)</w:t>
      </w:r>
    </w:p>
    <w:p>
      <w:pPr>
        <w:spacing w:line="360" w:lineRule="auto" w:after="20"/>
        <w:ind w:firstLine="283"/>
      </w:pPr>
      <w:r>
        <w:t>D. Gathering and recording information from clients to understand the purpose of the legal entity, as well as the identity of managers and ultimate beneficial owners</w:t>
      </w:r>
    </w:p>
    <w:p>
      <w:pPr>
        <w:spacing w:line="360" w:lineRule="auto" w:after="20"/>
        <w:ind w:firstLine="283"/>
      </w:pPr>
      <w:r>
        <w:t>E. Establishing procedures to document the basis on which the TCSP will act as a registered officer for the client and retaining records of that involvement</w:t>
      </w:r>
    </w:p>
    <w:p>
      <w:pPr>
        <w:spacing w:line="360" w:lineRule="auto" w:after="20"/>
        <w:ind w:firstLine="283"/>
      </w:pPr>
      <w:r>
        <w:t>F. Conducting an onsite evaluation of the client to assess internal controls</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TCSP 反洗钱风险控制：受益所有权识别、跨境保障与名义服务记录保存</w:t>
      </w:r>
    </w:p>
    <w:p>
      <w:pPr>
        <w:spacing w:before="120" w:after="40"/>
      </w:pPr>
      <w:r>
        <w:rPr>
          <w:b/>
          <w:sz w:val="21"/>
          <w:shd w:fill="D6E4F0" w:val="clear"/>
        </w:rPr>
        <w:t>核心解析</w:t>
      </w:r>
    </w:p>
    <w:p>
      <w:pPr>
        <w:spacing w:line="360" w:lineRule="auto" w:after="40"/>
        <w:ind w:firstLine="420"/>
      </w:pPr>
      <w:r>
        <w:t>教材指出，TCSP 常提供名义服务（如代名董事/股东），并与离岸公司结构相结合，易被用于掩盖最终受益所有人身份和资金来源（P126-P127）。因此，应对洗钱风险需实施三项措施：①识别法律实体的真实目的、管理人员和最终受益所有人，这符合识别受益所有人的客户尽职调查义务</w:t>
      </w:r>
      <w:r>
        <w:rPr>
          <w:sz w:val="15"/>
          <w:vertAlign w:val="superscript"/>
        </w:rPr>
        <w:t>P76、P245</w:t>
      </w:r>
      <w:r>
        <w:t>；②当客户指令通过另一司法管辖区的 TCSP 下达时，考虑额外保障措施，因为离岸地区可能 AML 监管薄弱、公开记录有限</w:t>
      </w:r>
      <w:r>
        <w:rPr>
          <w:sz w:val="15"/>
          <w:vertAlign w:val="superscript"/>
        </w:rPr>
        <w:t>P127</w:t>
      </w:r>
      <w:r>
        <w:t>；③建立程序记录 TCSP 作为客户注册代表（如名义董事/秘书）的依据并保存参与记录，以防范名义结构被滥用而隐藏受益所有人，避免因缺乏公司记录尽职调查导致洗钱（P126-P127）。三者直接对准 TCSP 特有的风险领域。</w:t>
      </w:r>
    </w:p>
    <w:p>
      <w:pPr>
        <w:spacing w:before="120" w:after="40"/>
      </w:pPr>
      <w:r>
        <w:rPr>
          <w:b/>
          <w:sz w:val="21"/>
          <w:shd w:fill="D6E4F0" w:val="clear"/>
        </w:rPr>
        <w:t>教材原句</w:t>
      </w:r>
    </w:p>
    <w:p>
      <w:pPr>
        <w:spacing w:line="360" w:lineRule="auto" w:after="40"/>
        <w:ind w:firstLine="420"/>
      </w:pPr>
      <w:r>
        <w:t>"A lack of due diligence in maintaining company records or supporting corporate governance processes could enable criminals to obscure UBO identities, unwittingly facilitating illicit activities."</w:t>
      </w:r>
    </w:p>
    <w:p>
      <w:pPr>
        <w:spacing w:before="120" w:after="40"/>
      </w:pPr>
      <w:r>
        <w:rPr>
          <w:b/>
          <w:sz w:val="21"/>
          <w:shd w:fill="D6E4F0" w:val="clear"/>
        </w:rPr>
        <w:t>A项错误</w:t>
      </w:r>
    </w:p>
    <w:p>
      <w:pPr>
        <w:spacing w:line="360" w:lineRule="auto" w:after="40"/>
        <w:ind w:firstLine="420"/>
      </w:pPr>
      <w:r>
        <w:t>双重控制和质量保证属于机构内部操作层面的控制机制</w:t>
      </w:r>
      <w:r>
        <w:rPr>
          <w:sz w:val="15"/>
          <w:vertAlign w:val="superscript"/>
        </w:rPr>
        <w:t>P249</w:t>
      </w:r>
      <w:r>
        <w:t>，并非直接针对 TCSP 行业特有的名义服务和离岸结构风险。相比之下，B、D、E 更直接匹配教材描述的 TCSP 风险领域。</w:t>
      </w:r>
    </w:p>
    <w:p>
      <w:pPr>
        <w:spacing w:before="120" w:after="40"/>
      </w:pPr>
      <w:r>
        <w:rPr>
          <w:b/>
          <w:sz w:val="21"/>
          <w:shd w:fill="D6E4F0" w:val="clear"/>
        </w:rPr>
        <w:t>C项错误</w:t>
      </w:r>
    </w:p>
    <w:p>
      <w:pPr>
        <w:spacing w:line="360" w:lineRule="auto" w:after="40"/>
        <w:ind w:firstLine="420"/>
      </w:pPr>
      <w:r>
        <w:t>向 FIU 报告可疑交易是 DNFBP 的义务（P148-149），但要求客户自行完成并提交 AML 风险自我评估表并非教材规定的 TCSP 措施，题干未支持该做法与应对洗钱风险的直接关联。</w:t>
      </w:r>
    </w:p>
    <w:p>
      <w:pPr>
        <w:spacing w:line="360" w:lineRule="auto" w:after="40"/>
        <w:ind w:firstLine="420"/>
      </w:pPr>
      <w:r>
        <w:t>F项错误：对客户进行现场评估审查其内部控制，更像是金融机构对高风险客户采取的强化措施</w:t>
      </w:r>
      <w:r>
        <w:rPr>
          <w:sz w:val="15"/>
          <w:vertAlign w:val="superscript"/>
        </w:rPr>
        <w:t>P313</w:t>
      </w:r>
      <w:r>
        <w:t>，而非 TCSP 作为 DNFBP 自身应对洗钱风险的核心方式。相比记录自身名义服务依据和进行客户尽职调查，此做法与教材所描述的 TCSP 角色匹配度较低。</w:t>
      </w:r>
    </w:p>
    <w:p>
      <w:pPr>
        <w:spacing w:line="360" w:lineRule="auto" w:after="120"/>
      </w:pPr>
      <w:r/>
    </w:p>
    <w:p>
      <w:pPr>
        <w:spacing w:line="360" w:lineRule="auto" w:after="40"/>
      </w:pPr>
      <w:r>
        <w:t>17. Risks associated with real estate transactions include: (Select two.) ( )</w:t>
      </w:r>
    </w:p>
    <w:p>
      <w:pPr>
        <w:spacing w:line="360" w:lineRule="auto" w:after="20"/>
        <w:ind w:firstLine="283"/>
      </w:pPr>
      <w:r>
        <w:t>A. Cross-border purchases.</w:t>
      </w:r>
    </w:p>
    <w:p>
      <w:pPr>
        <w:spacing w:line="360" w:lineRule="auto" w:after="20"/>
        <w:ind w:firstLine="283"/>
      </w:pPr>
      <w:r>
        <w:t>B. Purchases in the name of a natural person.</w:t>
      </w:r>
    </w:p>
    <w:p>
      <w:pPr>
        <w:spacing w:line="360" w:lineRule="auto" w:after="20"/>
        <w:ind w:firstLine="283"/>
      </w:pPr>
      <w:r>
        <w:t>C. Paying true market price for a property.</w:t>
      </w:r>
    </w:p>
    <w:p>
      <w:pPr>
        <w:spacing w:line="360" w:lineRule="auto" w:after="20"/>
        <w:ind w:firstLine="283"/>
      </w:pPr>
      <w:r>
        <w:t>D. Non-financed purchases.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识别跨境交易与代他人掩盖资金来源的房地产风险特征</w:t>
      </w:r>
    </w:p>
    <w:p>
      <w:pPr>
        <w:spacing w:before="120" w:after="40"/>
      </w:pPr>
      <w:r>
        <w:rPr>
          <w:b/>
          <w:sz w:val="21"/>
          <w:shd w:fill="D6E4F0" w:val="clear"/>
        </w:rPr>
        <w:t>核心解析</w:t>
      </w:r>
    </w:p>
    <w:p>
      <w:pPr>
        <w:spacing w:line="360" w:lineRule="auto" w:after="40"/>
        <w:ind w:firstLine="420"/>
      </w:pPr>
      <w:r>
        <w:t>风险在此题中指某项交易特征是否更易被用于隐藏非法资金或掩盖资金来源。教材指出两方面关键风险：一是“房地产市场的全球性使检测更加复杂，国际买家和跨境交易可以掩盖非法活动”</w:t>
      </w:r>
      <w:r>
        <w:rPr>
          <w:sz w:val="15"/>
          <w:vertAlign w:val="superscript"/>
        </w:rPr>
        <w:t>P122</w:t>
      </w:r>
      <w:r>
        <w:t>，二是“大额现金购买缺乏明确资金来源或充足证明文件”构成红旗信号</w:t>
      </w:r>
      <w:r>
        <w:rPr>
          <w:sz w:val="15"/>
          <w:vertAlign w:val="superscript"/>
        </w:rPr>
        <w:t>P128</w:t>
      </w:r>
      <w:r>
        <w:t>。选项A“跨境购物”直接触碰第一类风险——资金从另一司法管辖区进入，追踪链条断裂，跨境掩盖效应显现。选项D“未融资采购”则对应第二类——不通过银行贷款，意味着绕开金融机构的客户尽调和资金来源审查，使资金性质更难被核实。两者的共通点在于都使“钱从哪来”这个核心问题变得更难回答，因此正好落在教材所描述的风险区间内。</w:t>
      </w:r>
    </w:p>
    <w:p>
      <w:pPr>
        <w:spacing w:before="120" w:after="40"/>
      </w:pPr>
      <w:r>
        <w:rPr>
          <w:b/>
          <w:sz w:val="21"/>
          <w:shd w:fill="D6E4F0" w:val="clear"/>
        </w:rPr>
        <w:t>教材原句</w:t>
      </w:r>
    </w:p>
    <w:p>
      <w:pPr>
        <w:spacing w:line="360" w:lineRule="auto" w:after="40"/>
        <w:ind w:firstLine="420"/>
      </w:pPr>
      <w:r>
        <w:t>"The global nature of the real estate market further complicates detection efforts. International buyers and cross-border transactions can mask illicit activities."</w:t>
      </w:r>
    </w:p>
    <w:p>
      <w:pPr>
        <w:spacing w:before="120" w:after="40"/>
      </w:pPr>
      <w:r>
        <w:rPr>
          <w:b/>
          <w:sz w:val="21"/>
          <w:shd w:fill="D6E4F0" w:val="clear"/>
        </w:rPr>
        <w:t>B项错误</w:t>
      </w:r>
    </w:p>
    <w:p>
      <w:pPr>
        <w:spacing w:line="360" w:lineRule="auto" w:after="40"/>
        <w:ind w:firstLine="420"/>
      </w:pPr>
      <w:r>
        <w:t>教材将“由公司、信托或代名人购买房产且无合理解释”列为红旗信号</w:t>
      </w:r>
      <w:r>
        <w:rPr>
          <w:sz w:val="15"/>
          <w:vertAlign w:val="superscript"/>
        </w:rPr>
        <w:t>P121</w:t>
      </w:r>
      <w:r>
        <w:t>，暗示通过中介实体隐藏身份才是风险所在。以自然人自己的名义购买恰好相反——它反而更能促进权属透明，因此在教材框架下不如A和D那样直接匹配风险定义。</w:t>
      </w:r>
    </w:p>
    <w:p>
      <w:pPr>
        <w:spacing w:before="120" w:after="40"/>
      </w:pPr>
      <w:r>
        <w:rPr>
          <w:b/>
          <w:sz w:val="21"/>
          <w:shd w:fill="D6E4F0" w:val="clear"/>
        </w:rPr>
        <w:t>C项错误</w:t>
      </w:r>
    </w:p>
    <w:p>
      <w:pPr>
        <w:spacing w:line="360" w:lineRule="auto" w:after="40"/>
        <w:ind w:firstLine="420"/>
      </w:pPr>
      <w:r>
        <w:t>教材指出房地产洗钱的手段之一是“虚增房产价值”</w:t>
      </w:r>
      <w:r>
        <w:rPr>
          <w:sz w:val="15"/>
          <w:vertAlign w:val="superscript"/>
        </w:rPr>
        <w:t>P119</w:t>
      </w:r>
      <w:r>
        <w:t>，即偏离真实市价的定价才构成风险指示。题干所述的“以真实市场价格购买”本身就缺乏价格操纵这一风险要素，相比之下与教材描述的风险行为匹配度明显更低。</w:t>
      </w:r>
    </w:p>
    <w:p>
      <w:pPr>
        <w:spacing w:before="120" w:after="40"/>
      </w:pPr>
      <w:r>
        <w:rPr>
          <w:b/>
          <w:sz w:val="21"/>
          <w:shd w:fill="D6E4F0" w:val="clear"/>
        </w:rPr>
        <w:t>易错提醒</w:t>
      </w:r>
    </w:p>
    <w:p>
      <w:pPr>
        <w:spacing w:line="360" w:lineRule="auto" w:after="40"/>
        <w:ind w:firstLine="420"/>
      </w:pPr>
      <w:r>
        <w:t>自然人购买不等于无风险——教材的风险信号是“由公司、信托或代名人购买且无合理解释”</w:t>
      </w:r>
      <w:r>
        <w:rPr>
          <w:sz w:val="15"/>
          <w:vertAlign w:val="superscript"/>
        </w:rPr>
        <w:t>P121</w:t>
      </w:r>
      <w:r>
        <w:t>，重点在于隐藏真正受益人，而非一概排斥自然人。但自然人直接购买时权属清晰，相比通过中间实体隐藏身份，其风险匹配度明显低于跨境交易或未融资采购。</w:t>
      </w:r>
    </w:p>
    <w:p>
      <w:pPr>
        <w:spacing w:line="360" w:lineRule="auto" w:after="120"/>
      </w:pPr>
      <w:r/>
    </w:p>
    <w:p>
      <w:pPr>
        <w:spacing w:line="360" w:lineRule="auto" w:after="40"/>
      </w:pPr>
      <w:r>
        <w:t>18. Which of the following are key financial crime risks associated with real estate companies? (Choose Four.) ( )</w:t>
      </w:r>
    </w:p>
    <w:p>
      <w:pPr>
        <w:spacing w:line="360" w:lineRule="auto" w:after="20"/>
        <w:ind w:firstLine="283"/>
      </w:pPr>
      <w:r>
        <w:t>A. Buying property allows for the movement of large amounts of funds in a single transaction.</w:t>
      </w:r>
    </w:p>
    <w:p>
      <w:pPr>
        <w:spacing w:line="360" w:lineRule="auto" w:after="20"/>
        <w:ind w:firstLine="283"/>
      </w:pPr>
      <w:r>
        <w:t>B. Criminal networks could purchase real estate for use as supply houses or locations to grow, manufacture, or distribute illicit narcotics.</w:t>
      </w:r>
    </w:p>
    <w:p>
      <w:pPr>
        <w:spacing w:line="360" w:lineRule="auto" w:after="20"/>
        <w:ind w:firstLine="283"/>
      </w:pPr>
      <w:r>
        <w:t>C. Markets can be volatile, and buyers may not achieve a strong return on their investment.</w:t>
      </w:r>
    </w:p>
    <w:p>
      <w:pPr>
        <w:spacing w:line="360" w:lineRule="auto" w:after="20"/>
        <w:ind w:firstLine="283"/>
      </w:pPr>
      <w:r>
        <w:t>D. Beneficial ownership information might be opaque, and criminals may abuse arrangements like shell companies and trusts.</w:t>
      </w:r>
    </w:p>
    <w:p>
      <w:pPr>
        <w:spacing w:line="360" w:lineRule="auto" w:after="20"/>
        <w:ind w:firstLine="283"/>
      </w:pPr>
      <w:r>
        <w:t>E. Real estate transactions often involve financial institutions and other professional gatekeepers.</w:t>
      </w:r>
    </w:p>
    <w:p>
      <w:pPr>
        <w:spacing w:line="360" w:lineRule="auto" w:after="20"/>
        <w:ind w:firstLine="283"/>
      </w:pPr>
      <w:r>
        <w:t>F. The high value of property may require multiple types of financing.</w:t>
      </w:r>
    </w:p>
    <w:p>
      <w:pPr>
        <w:spacing w:line="360" w:lineRule="auto" w:after="40"/>
      </w:pPr>
      <w:r>
        <w:t>答案：A、B、D、E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识别房地产行业固有的洗钱风险特征</w:t>
      </w:r>
    </w:p>
    <w:p>
      <w:pPr>
        <w:spacing w:before="120" w:after="40"/>
      </w:pPr>
      <w:r>
        <w:rPr>
          <w:b/>
          <w:sz w:val="21"/>
          <w:shd w:fill="D6E4F0" w:val="clear"/>
        </w:rPr>
        <w:t>核心解析</w:t>
      </w:r>
    </w:p>
    <w:p>
      <w:pPr>
        <w:spacing w:line="360" w:lineRule="auto" w:after="40"/>
        <w:ind w:firstLine="420"/>
      </w:pPr>
      <w:r>
        <w:t>房地产行业因交易金额大、资产有形，固有洗钱风险</w:t>
      </w:r>
      <w:r>
        <w:rPr>
          <w:sz w:val="15"/>
          <w:vertAlign w:val="superscript"/>
        </w:rPr>
        <w:t>P121</w:t>
      </w:r>
      <w:r>
        <w:t>。犯罪分子可将非法资金融入合法经济，利用房产在一笔交易中转移大额资金</w:t>
      </w:r>
      <w:r>
        <w:rPr>
          <w:sz w:val="15"/>
          <w:vertAlign w:val="superscript"/>
        </w:rPr>
        <w:t>P121</w:t>
      </w:r>
      <w:r>
        <w:t>。房产可被制毒团伙用作制毒、分销场所，毒品收益通过房地产清洗</w:t>
      </w:r>
      <w:r>
        <w:rPr>
          <w:sz w:val="15"/>
          <w:vertAlign w:val="superscript"/>
        </w:rPr>
        <w:t>P46</w:t>
      </w:r>
      <w:r>
        <w:t>。买卖或租赁房地产时，通过空壳公司、信托等安排隐藏实益所有权，是教材明确列举的风险</w:t>
      </w:r>
      <w:r>
        <w:rPr>
          <w:sz w:val="15"/>
          <w:vertAlign w:val="superscript"/>
        </w:rPr>
        <w:t>P121</w:t>
      </w:r>
      <w:r>
        <w:t>。交易中律师、金融机构等第三方把关人参与，进一步使资金流动合法化</w:t>
      </w:r>
      <w:r>
        <w:rPr>
          <w:sz w:val="15"/>
          <w:vertAlign w:val="superscript"/>
        </w:rPr>
        <w:t>P121</w:t>
      </w:r>
      <w:r>
        <w:t>。选项C为投资回报风险，不属于金融犯罪风险；选项F为融资方式多样性，属中性商业特征，未直接指向犯罪滥用。正确答案A、B、D、E均直接对应教材所述的洗钱或犯罪利用风险。</w:t>
      </w:r>
    </w:p>
    <w:p>
      <w:pPr>
        <w:spacing w:before="120" w:after="40"/>
      </w:pPr>
      <w:r>
        <w:rPr>
          <w:b/>
          <w:sz w:val="21"/>
          <w:shd w:fill="D6E4F0" w:val="clear"/>
        </w:rPr>
        <w:t>教材原句</w:t>
      </w:r>
    </w:p>
    <w:p>
      <w:pPr>
        <w:spacing w:line="360" w:lineRule="auto" w:after="40"/>
        <w:ind w:firstLine="420"/>
      </w:pPr>
      <w:r>
        <w:t>"The real estate sector is inherently susceptible to money laundering due to the substantial sums involved in property transactions and the tangible nature of these assets."</w:t>
      </w:r>
    </w:p>
    <w:p>
      <w:pPr>
        <w:spacing w:before="120" w:after="40"/>
      </w:pPr>
      <w:r>
        <w:rPr>
          <w:b/>
          <w:sz w:val="21"/>
          <w:shd w:fill="D6E4F0" w:val="clear"/>
        </w:rPr>
        <w:t>C项错误</w:t>
      </w:r>
    </w:p>
    <w:p>
      <w:pPr>
        <w:spacing w:line="360" w:lineRule="auto" w:after="40"/>
        <w:ind w:firstLine="420"/>
      </w:pPr>
      <w:r>
        <w:t>市场波动和投资回报属于一般投资风险，金融犯罪风险概念（如洗钱、恐怖融资）不涵盖此类商业不确定性。正确项A、B、D、E均涉及非法资金流动、犯罪活动或所有权隐藏，更直接吻合金融犯罪风险的定义。</w:t>
      </w:r>
    </w:p>
    <w:p>
      <w:pPr>
        <w:spacing w:line="360" w:lineRule="auto" w:after="40"/>
        <w:ind w:firstLine="420"/>
      </w:pPr>
      <w:r>
        <w:t>F项错误：多种类型的融资是中性的商业安排，未直接描述犯罪滥用情形。相比之下，正确项揭示了房地产交易被用于洗钱的核心特征（如大额资金转移、隐藏所有权、第三方合法化），更符合教材对房地产金融犯罪风险的界定。</w:t>
      </w:r>
    </w:p>
    <w:p>
      <w:pPr>
        <w:spacing w:before="120" w:after="40"/>
      </w:pPr>
      <w:r>
        <w:rPr>
          <w:b/>
          <w:sz w:val="21"/>
          <w:shd w:fill="D6E4F0" w:val="clear"/>
        </w:rPr>
        <w:t>易错提醒</w:t>
      </w:r>
    </w:p>
    <w:p>
      <w:pPr>
        <w:spacing w:line="360" w:lineRule="auto" w:after="40"/>
        <w:ind w:firstLine="420"/>
      </w:pPr>
      <w:r>
        <w:t>金融犯罪风险特指洗钱、恐怖融资、欺诈等非法活动带来的风险，有别于市场波动或投资回报等一般商业风险。</w:t>
      </w:r>
    </w:p>
    <w:p>
      <w:pPr>
        <w:spacing w:line="360" w:lineRule="auto" w:after="120"/>
      </w:pPr>
      <w:r/>
    </w:p>
    <w:p>
      <w:pPr>
        <w:spacing w:line="360" w:lineRule="auto" w:after="40"/>
      </w:pPr>
      <w:r>
        <w:t>19. Risks associated with real estate transactions include: (Choose two.) ( )</w:t>
      </w:r>
    </w:p>
    <w:p>
      <w:pPr>
        <w:spacing w:line="360" w:lineRule="auto" w:after="20"/>
        <w:ind w:firstLine="283"/>
      </w:pPr>
      <w:r>
        <w:t>A. Cross-border purchases.</w:t>
      </w:r>
    </w:p>
    <w:p>
      <w:pPr>
        <w:spacing w:line="360" w:lineRule="auto" w:after="20"/>
        <w:ind w:firstLine="283"/>
      </w:pPr>
      <w:r>
        <w:t>B. Purchases in the name of a natural person.</w:t>
      </w:r>
    </w:p>
    <w:p>
      <w:pPr>
        <w:spacing w:line="360" w:lineRule="auto" w:after="20"/>
        <w:ind w:firstLine="283"/>
      </w:pPr>
      <w:r>
        <w:t>C. Paying true market price for a property.</w:t>
      </w:r>
    </w:p>
    <w:p>
      <w:pPr>
        <w:spacing w:line="360" w:lineRule="auto" w:after="20"/>
        <w:ind w:firstLine="283"/>
      </w:pPr>
      <w:r>
        <w:t>D. Non-financed purchases.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识别房地产交易中的洗钱风险信号</w:t>
      </w:r>
    </w:p>
    <w:p>
      <w:pPr>
        <w:spacing w:before="120" w:after="40"/>
      </w:pPr>
      <w:r>
        <w:rPr>
          <w:b/>
          <w:sz w:val="21"/>
          <w:shd w:fill="D6E4F0" w:val="clear"/>
        </w:rPr>
        <w:t>核心解析</w:t>
      </w:r>
    </w:p>
    <w:p>
      <w:pPr>
        <w:spacing w:line="360" w:lineRule="auto" w:after="40"/>
        <w:ind w:firstLine="420"/>
      </w:pPr>
      <w:r>
        <w:t>教材指出，跨境交易能掩盖非法活动，房地产市场的全球性本身就让洗钱检测更复杂</w:t>
      </w:r>
      <w:r>
        <w:rPr>
          <w:sz w:val="15"/>
          <w:vertAlign w:val="superscript"/>
        </w:rPr>
        <w:t>P122</w:t>
      </w:r>
      <w:r>
        <w:t>。同时，缺乏合理融资来源的全款采购——比如未通过银行贷款而直接用大额现金购买——即使资金数额在报告限额以下，也是典型的高价值资产洗钱红旗信号</w:t>
      </w:r>
      <w:r>
        <w:rPr>
          <w:sz w:val="15"/>
          <w:vertAlign w:val="superscript"/>
        </w:rPr>
        <w:t>P128</w:t>
      </w:r>
      <w:r>
        <w:t>。题干问的是“房地产交易相关的风险”，而A“跨境购物”直接对应教材所说的国际买家与跨境交易风险，D“未融资采购”则对应缺乏清晰资金来源的现金采购风险，二者都属于教材明确列出的房地产/高价值资产洗钱风险指标。</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w:t>
      </w:r>
    </w:p>
    <w:p>
      <w:pPr>
        <w:spacing w:before="120" w:after="40"/>
      </w:pPr>
      <w:r>
        <w:rPr>
          <w:b/>
          <w:sz w:val="21"/>
          <w:shd w:fill="D6E4F0" w:val="clear"/>
        </w:rPr>
        <w:t>B项错误</w:t>
      </w:r>
    </w:p>
    <w:p>
      <w:pPr>
        <w:spacing w:line="360" w:lineRule="auto" w:after="40"/>
        <w:ind w:firstLine="420"/>
      </w:pPr>
      <w:r>
        <w:t>教材中提到，使用公司、信托或代名人购买房产而非直接以个人名义购买，才是需要关注的红旗信号</w:t>
      </w:r>
      <w:r>
        <w:rPr>
          <w:sz w:val="15"/>
          <w:vertAlign w:val="superscript"/>
        </w:rPr>
        <w:t>P121</w:t>
      </w:r>
      <w:r>
        <w:t>。题干中的“以自然人名义进行的采购”可能产生歧义——若指直接以个人身份购买且来源正当，这不是风险；但教材并未否定自然人购买本身，只是指出通过代持结构掩盖真实身份才是风险。相比之下，A和D更直接吻合教材对房地产洗钱风险的界定。</w:t>
      </w:r>
    </w:p>
    <w:p>
      <w:pPr>
        <w:spacing w:before="120" w:after="40"/>
      </w:pPr>
      <w:r>
        <w:rPr>
          <w:b/>
          <w:sz w:val="21"/>
          <w:shd w:fill="D6E4F0" w:val="clear"/>
        </w:rPr>
        <w:t>C项错误</w:t>
      </w:r>
    </w:p>
    <w:p>
      <w:pPr>
        <w:spacing w:line="360" w:lineRule="auto" w:after="40"/>
        <w:ind w:firstLine="420"/>
      </w:pPr>
      <w:r>
        <w:t>教材将价格偏离市场价值（高开发票或低开发票）列为贸易洗钱或资产估值的风险指标，而不是按真实市场价成交</w:t>
      </w:r>
      <w:r>
        <w:rPr>
          <w:sz w:val="15"/>
          <w:vertAlign w:val="superscript"/>
        </w:rPr>
        <w:t>P131</w:t>
      </w:r>
      <w:r>
        <w:t>。题干条件下的房地产交易，按真实市价购买不具备洗钱风险信号的特征。</w:t>
      </w:r>
    </w:p>
    <w:p>
      <w:pPr>
        <w:spacing w:line="360" w:lineRule="auto" w:after="120"/>
      </w:pPr>
      <w:r/>
    </w:p>
    <w:p>
      <w:pPr>
        <w:spacing w:line="360" w:lineRule="auto" w:after="40"/>
      </w:pPr>
      <w:r>
        <w:t>20. Red flags for potential money laundering in real estate include completing luxury real estate purchases: (Select Two.) ( )</w:t>
      </w:r>
    </w:p>
    <w:p>
      <w:pPr>
        <w:spacing w:line="360" w:lineRule="auto" w:after="20"/>
        <w:ind w:firstLine="283"/>
      </w:pPr>
      <w:r>
        <w:t>A. Using shell companies or trusts for privacy, tax planning, or asset protection.</w:t>
      </w:r>
    </w:p>
    <w:p>
      <w:pPr>
        <w:spacing w:line="360" w:lineRule="auto" w:after="20"/>
        <w:ind w:firstLine="283"/>
      </w:pPr>
      <w:r>
        <w:t>B. In the names of unrelated third parties.</w:t>
      </w:r>
    </w:p>
    <w:p>
      <w:pPr>
        <w:spacing w:line="360" w:lineRule="auto" w:after="20"/>
        <w:ind w:firstLine="283"/>
      </w:pPr>
      <w:r>
        <w:t>C. Using the proceeds from selling a prior property or liquidating investments to make an all-cash purchase.</w:t>
      </w:r>
    </w:p>
    <w:p>
      <w:pPr>
        <w:spacing w:line="360" w:lineRule="auto" w:after="20"/>
        <w:ind w:firstLine="283"/>
      </w:pPr>
      <w:r>
        <w:t>D. Using legal entities and intermediaries to protect the privacy of the purchaser.</w:t>
      </w:r>
    </w:p>
    <w:p>
      <w:pPr>
        <w:spacing w:line="360" w:lineRule="auto" w:after="20"/>
        <w:ind w:firstLine="283"/>
      </w:pPr>
      <w:r>
        <w:t>E. Using loans backed by cash or certificates of deposit.</w:t>
      </w:r>
    </w:p>
    <w:p>
      <w:pPr>
        <w:spacing w:line="360" w:lineRule="auto" w:after="40"/>
      </w:pPr>
      <w:r>
        <w:t>答案：C、B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识别房地产洗钱的全现金购买和代名人购买两大红旗信号</w:t>
      </w:r>
    </w:p>
    <w:p>
      <w:pPr>
        <w:spacing w:before="120" w:after="40"/>
      </w:pPr>
      <w:r>
        <w:rPr>
          <w:b/>
          <w:sz w:val="21"/>
          <w:shd w:fill="D6E4F0" w:val="clear"/>
        </w:rPr>
        <w:t>核心解析</w:t>
      </w:r>
    </w:p>
    <w:p>
      <w:pPr>
        <w:spacing w:line="360" w:lineRule="auto" w:after="40"/>
        <w:ind w:firstLine="420"/>
      </w:pPr>
      <w:r>
        <w:t>教材将“全部或主要用现金支付的买家”列为房地产洗钱的直接红旗信号</w:t>
      </w:r>
      <w:r>
        <w:rPr>
          <w:sz w:val="15"/>
          <w:vertAlign w:val="superscript"/>
        </w:rPr>
        <w:t>P122</w:t>
      </w:r>
      <w:r>
        <w:t>，全现金购买因难以追踪资金来源而增加洗钱风险，题干中“全现金购房”直接命中该指标。同时，教材指出“由公司、信托或代名人购买房产且无合理解释”也是红旗信号</w:t>
      </w:r>
      <w:r>
        <w:rPr>
          <w:sz w:val="15"/>
          <w:vertAlign w:val="superscript"/>
        </w:rPr>
        <w:t>P121</w:t>
      </w:r>
      <w:r>
        <w:t>。以不相关的第三方名义购买，本质上就是使用代名人来隔离买家与房产的权属关系，隐藏真实所有权，这在教材框架下同样属于典型的警示信号。因此 C 和 B 两项与教材定义的风险指标最为吻合。</w:t>
      </w:r>
    </w:p>
    <w:p>
      <w:pPr>
        <w:spacing w:before="120" w:after="40"/>
      </w:pPr>
      <w:r>
        <w:rPr>
          <w:b/>
          <w:sz w:val="21"/>
          <w:shd w:fill="D6E4F0" w:val="clear"/>
        </w:rPr>
        <w:t>教材原句</w:t>
      </w:r>
    </w:p>
    <w:p>
      <w:pPr>
        <w:spacing w:line="360" w:lineRule="auto" w:after="40"/>
        <w:ind w:firstLine="420"/>
      </w:pPr>
      <w:r>
        <w:t>"Red flags include buyers who pay entirely or primarily in cash, particularly in regions where bank financing is the norm."</w:t>
      </w:r>
    </w:p>
    <w:p>
      <w:pPr>
        <w:spacing w:before="120" w:after="40"/>
      </w:pPr>
      <w:r>
        <w:rPr>
          <w:b/>
          <w:sz w:val="21"/>
          <w:shd w:fill="D6E4F0" w:val="clear"/>
        </w:rPr>
        <w:t>A项错误</w:t>
      </w:r>
    </w:p>
    <w:p>
      <w:pPr>
        <w:spacing w:line="360" w:lineRule="auto" w:after="40"/>
        <w:ind w:firstLine="420"/>
      </w:pPr>
      <w:r>
        <w:t>利用空壳公司或信托本身并不必然构成洗钱红旗。教材强调成为红旗的关键在于“无合理解释”，而选项 A 明确提到了隐私保护、税务规划或资产保护等可能构成合法商业目的的理由，因此题干条件更直接指向 B、C 而非 A。</w:t>
      </w:r>
    </w:p>
    <w:p>
      <w:pPr>
        <w:spacing w:before="120" w:after="40"/>
      </w:pPr>
      <w:r>
        <w:rPr>
          <w:b/>
          <w:sz w:val="21"/>
          <w:shd w:fill="D6E4F0" w:val="clear"/>
        </w:rPr>
        <w:t>D项错误</w:t>
      </w:r>
    </w:p>
    <w:p>
      <w:pPr>
        <w:spacing w:line="360" w:lineRule="auto" w:after="40"/>
        <w:ind w:firstLine="420"/>
      </w:pPr>
      <w:r>
        <w:t>教材中红旗信号针对的是通过法人实体隐藏受益所有人且缺乏合理解释的情形，而非“保护购买者隐私”这一中性目的。以隐私保护为由使用法人实体和中介机构，不如 B 项“以不相关的第三方名义购买”那样直接体现所有权隐藏风险，也不如 C 项全现金购买那样被教材明确列为独立红旗。</w:t>
      </w:r>
    </w:p>
    <w:p>
      <w:pPr>
        <w:spacing w:before="120" w:after="40"/>
      </w:pPr>
      <w:r>
        <w:rPr>
          <w:b/>
          <w:sz w:val="21"/>
          <w:shd w:fill="D6E4F0" w:val="clear"/>
        </w:rPr>
        <w:t>E项错误</w:t>
      </w:r>
    </w:p>
    <w:p>
      <w:pPr>
        <w:spacing w:line="360" w:lineRule="auto" w:after="40"/>
        <w:ind w:firstLine="420"/>
      </w:pPr>
      <w:r>
        <w:t>以现金或定期存款单作担保的贷款属于常见的担保融资安排，教材未将其列为房地产洗钱的红旗信号。教程提到可疑的是“无关联第三方之间的贷款协议”缺乏合法经济理由的情形</w:t>
      </w:r>
      <w:r>
        <w:rPr>
          <w:sz w:val="15"/>
          <w:vertAlign w:val="superscript"/>
        </w:rPr>
        <w:t>P128</w:t>
      </w:r>
      <w:r>
        <w:t>，与有担保贷款的性质不同，故本项匹配度远低于 C 和 B。</w:t>
      </w:r>
    </w:p>
    <w:p>
      <w:pPr>
        <w:spacing w:before="120" w:after="40"/>
      </w:pPr>
      <w:r>
        <w:rPr>
          <w:b/>
          <w:sz w:val="21"/>
          <w:shd w:fill="D6E4F0" w:val="clear"/>
        </w:rPr>
        <w:t>易错提醒</w:t>
      </w:r>
    </w:p>
    <w:p>
      <w:pPr>
        <w:spacing w:line="360" w:lineRule="auto" w:after="40"/>
        <w:ind w:firstLine="420"/>
      </w:pPr>
      <w:r>
        <w:t>空壳公司、信托或法人实体只有在“无合理解释”时才是房地产洗钱的红旗</w:t>
      </w:r>
      <w:r>
        <w:rPr>
          <w:sz w:val="15"/>
          <w:vertAlign w:val="superscript"/>
        </w:rPr>
        <w:t>P121</w:t>
      </w:r>
      <w:r>
        <w:t>。如果结构具有合法的隐私、税务或资产保护目的，则本身不自动构成警示信号。</w:t>
      </w:r>
    </w:p>
    <w:p>
      <w:pPr>
        <w:spacing w:line="360" w:lineRule="auto" w:after="120"/>
      </w:pPr>
      <w:r/>
    </w:p>
    <w:p>
      <w:pPr>
        <w:spacing w:line="360" w:lineRule="auto" w:after="40"/>
      </w:pPr>
      <w:r>
        <w:t>21. Which of the services provided by Trust and Company Service Providers (TCSPs) present the greatest financial crime risks? (Choose three.) ( )</w:t>
      </w:r>
    </w:p>
    <w:p>
      <w:pPr>
        <w:spacing w:line="360" w:lineRule="auto" w:after="20"/>
        <w:ind w:firstLine="283"/>
      </w:pPr>
      <w:r>
        <w:t>A. Providing clear procedures to ensure compliance with local tax regulations</w:t>
      </w:r>
    </w:p>
    <w:p>
      <w:pPr>
        <w:spacing w:line="360" w:lineRule="auto" w:after="20"/>
        <w:ind w:firstLine="283"/>
      </w:pPr>
      <w:r>
        <w:t>B. Using trusts to obscure the identity of beneficial owners</w:t>
      </w:r>
    </w:p>
    <w:p>
      <w:pPr>
        <w:spacing w:line="360" w:lineRule="auto" w:after="20"/>
        <w:ind w:firstLine="283"/>
      </w:pPr>
      <w:r>
        <w:t>C. Promoting the use of complex corporate structures</w:t>
      </w:r>
    </w:p>
    <w:p>
      <w:pPr>
        <w:spacing w:line="360" w:lineRule="auto" w:after="20"/>
        <w:ind w:firstLine="283"/>
      </w:pPr>
      <w:r>
        <w:t>D. Maintaining accurate and updated beneficial ownership details for all customers registered for their services</w:t>
      </w:r>
    </w:p>
    <w:p>
      <w:pPr>
        <w:spacing w:line="360" w:lineRule="auto" w:after="20"/>
        <w:ind w:firstLine="283"/>
      </w:pPr>
      <w:r>
        <w:t>E. Establishing shell companies for holding financial assets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判断TCSP哪些业务功能直接关联掩盖所有权与匿名性风险</w:t>
      </w:r>
    </w:p>
    <w:p>
      <w:pPr>
        <w:spacing w:before="120" w:after="40"/>
      </w:pPr>
      <w:r>
        <w:rPr>
          <w:b/>
          <w:sz w:val="21"/>
          <w:shd w:fill="D6E4F0" w:val="clear"/>
        </w:rPr>
        <w:t>核心解析</w:t>
      </w:r>
    </w:p>
    <w:p>
      <w:pPr>
        <w:spacing w:line="360" w:lineRule="auto" w:after="40"/>
        <w:ind w:firstLine="420"/>
      </w:pPr>
      <w:r>
        <w:t>信托与公司服务提供商（TCSP）的核心业务包括代名服务、设立壳公司等</w:t>
      </w:r>
      <w:r>
        <w:rPr>
          <w:sz w:val="15"/>
          <w:vertAlign w:val="superscript"/>
        </w:rPr>
        <w:t>P126</w:t>
      </w:r>
      <w:r>
        <w:t>，此类服务可被用来掩盖（obfuscate）资产真实所有权或资金来源</w:t>
      </w:r>
      <w:r>
        <w:rPr>
          <w:sz w:val="15"/>
          <w:vertAlign w:val="superscript"/>
        </w:rPr>
        <w:t>P126</w:t>
      </w:r>
      <w:r>
        <w:t>。之所以构成最大的金融犯罪风险，在于它们的核心功能直接制造了“所有权”和“交易匿名”地带：信托利用法定所有权与受益所有权分离来掩饰犯罪关联</w:t>
      </w:r>
      <w:r>
        <w:rPr>
          <w:sz w:val="15"/>
          <w:vertAlign w:val="superscript"/>
        </w:rPr>
        <w:t>P74</w:t>
      </w:r>
      <w:r>
        <w:t>；复杂公司结构使识别受益所有人变得困难</w:t>
      </w:r>
      <w:r>
        <w:rPr>
          <w:sz w:val="15"/>
          <w:vertAlign w:val="superscript"/>
        </w:rPr>
        <w:t>P64</w:t>
      </w:r>
      <w:r>
        <w:t>；壳公司可专门为持有单一资产而设立，隐藏真实受益所有人</w:t>
      </w:r>
      <w:r>
        <w:rPr>
          <w:sz w:val="15"/>
          <w:vertAlign w:val="superscript"/>
        </w:rPr>
        <w:t>P55</w:t>
      </w:r>
      <w:r>
        <w:t>。题干中B项“利用信托掩盖受益所有人身份”、C项“推广使用复杂的公司结构”、E项“设立空壳公司以持有金融资产”正好落在这三条由教材明确定义的高风险功能上——每一项都直指受益所有权被遮蔽这一核心风险，匹配度最高。</w:t>
      </w:r>
    </w:p>
    <w:p>
      <w:pPr>
        <w:spacing w:before="120" w:after="40"/>
      </w:pPr>
      <w:r>
        <w:rPr>
          <w:b/>
          <w:sz w:val="21"/>
          <w:shd w:fill="D6E4F0" w:val="clear"/>
        </w:rPr>
        <w:t>教材原句</w:t>
      </w:r>
    </w:p>
    <w:p>
      <w:pPr>
        <w:spacing w:line="360" w:lineRule="auto" w:after="40"/>
        <w:ind w:firstLine="420"/>
      </w:pPr>
      <w:r>
        <w:t>"Trust and company service providers (TCSP) offer a range of business services, including nominee services, the establishment of shell companies, and the incorporation of onshore and offshore companies."</w:t>
      </w:r>
    </w:p>
    <w:p>
      <w:pPr>
        <w:spacing w:before="120" w:after="40"/>
      </w:pPr>
      <w:r>
        <w:rPr>
          <w:b/>
          <w:sz w:val="21"/>
          <w:shd w:fill="D6E4F0" w:val="clear"/>
        </w:rPr>
        <w:t>A项错误</w:t>
      </w:r>
    </w:p>
    <w:p>
      <w:pPr>
        <w:spacing w:line="360" w:lineRule="auto" w:after="40"/>
        <w:ind w:firstLine="420"/>
      </w:pPr>
      <w:r>
        <w:t>教材将“确保当地合规”列为离岸公司注册的配套行政事务</w:t>
      </w:r>
      <w:r>
        <w:rPr>
          <w:sz w:val="15"/>
          <w:vertAlign w:val="superscript"/>
        </w:rPr>
        <w:t>P127</w:t>
      </w:r>
      <w:r>
        <w:t>，本身是正当合规职能。题干追问“最大的金融犯罪风险”，旨在锁定利用匿名性洗钱的服务，而非日常合规操作。</w:t>
      </w:r>
    </w:p>
    <w:p>
      <w:pPr>
        <w:spacing w:before="120" w:after="40"/>
      </w:pPr>
      <w:r>
        <w:rPr>
          <w:b/>
          <w:sz w:val="21"/>
          <w:shd w:fill="D6E4F0" w:val="clear"/>
        </w:rPr>
        <w:t>D项错误</w:t>
      </w:r>
    </w:p>
    <w:p>
      <w:pPr>
        <w:spacing w:line="360" w:lineRule="auto" w:after="40"/>
        <w:ind w:firstLine="420"/>
      </w:pPr>
      <w:r>
        <w:t>维护准确且最新的受益所有权详情属于FATF建议的透明度要求</w:t>
      </w:r>
      <w:r>
        <w:rPr>
          <w:sz w:val="15"/>
          <w:vertAlign w:val="superscript"/>
        </w:rPr>
        <w:t>P149</w:t>
      </w:r>
      <w:r>
        <w:t>，教材在某些国家将其描述为反洗钱立法强化的方向</w:t>
      </w:r>
      <w:r>
        <w:rPr>
          <w:sz w:val="15"/>
          <w:vertAlign w:val="superscript"/>
        </w:rPr>
        <w:t>P182</w:t>
      </w:r>
      <w:r>
        <w:t>。它不是TCSP自身业务流程中容易滋生风险的服务，反而最可能在合规框架下降低风险。题干所问“最大风险”显然更指向制造不透明结构的行为，而非透明度维护工作。</w:t>
      </w:r>
    </w:p>
    <w:p>
      <w:pPr>
        <w:spacing w:before="120" w:after="40"/>
      </w:pPr>
      <w:r>
        <w:rPr>
          <w:b/>
          <w:sz w:val="21"/>
          <w:shd w:fill="D6E4F0" w:val="clear"/>
        </w:rPr>
        <w:t>易错提醒</w:t>
      </w:r>
    </w:p>
    <w:p>
      <w:pPr>
        <w:spacing w:line="360" w:lineRule="auto" w:after="40"/>
        <w:ind w:firstLine="420"/>
      </w:pPr>
      <w:r>
        <w:t>易混的“合规行为”与“风险来源”：选项A和D的本质是TCSP在反洗钱框架下被要求去做的降低风险动作，而B、C、E本身即产生不透明性——前者属于应对风险的手段，后者属于风险产生的源头。</w:t>
      </w:r>
    </w:p>
    <w:p>
      <w:pPr>
        <w:spacing w:line="360" w:lineRule="auto" w:after="120"/>
      </w:pPr>
      <w:r/>
    </w:p>
    <w:p>
      <w:pPr>
        <w:spacing w:line="360" w:lineRule="auto" w:after="40"/>
      </w:pPr>
      <w:r>
        <w:t>22. Which of the following corporate structures present a higher money laundering risk because of reduced transparency? (Select Three.) ( )</w:t>
      </w:r>
    </w:p>
    <w:p>
      <w:pPr>
        <w:spacing w:line="360" w:lineRule="auto" w:after="20"/>
        <w:ind w:firstLine="283"/>
      </w:pPr>
      <w:r>
        <w:t>A. A limited liability company incorporated in a foreign jurisdiction</w:t>
      </w:r>
    </w:p>
    <w:p>
      <w:pPr>
        <w:spacing w:line="360" w:lineRule="auto" w:after="20"/>
        <w:ind w:firstLine="283"/>
      </w:pPr>
      <w:r>
        <w:t>B. A private company that has no activity in a tax haven jurisdiction</w:t>
      </w:r>
    </w:p>
    <w:p>
      <w:pPr>
        <w:spacing w:line="360" w:lineRule="auto" w:after="20"/>
        <w:ind w:firstLine="283"/>
      </w:pPr>
      <w:r>
        <w:t>C. A company with nominee shareholders and directors in a local jurisdiction</w:t>
      </w:r>
    </w:p>
    <w:p>
      <w:pPr>
        <w:spacing w:line="360" w:lineRule="auto" w:after="20"/>
        <w:ind w:firstLine="283"/>
      </w:pPr>
      <w:r>
        <w:t>D. A company with bearer shares incorporated in a tax haven jurisdiction</w:t>
      </w:r>
    </w:p>
    <w:p>
      <w:pPr>
        <w:spacing w:line="360" w:lineRule="auto" w:after="20"/>
        <w:ind w:firstLine="283"/>
      </w:pPr>
      <w:r>
        <w:t>E. A private investment company incorporated in a tax haven jurisdiction with strict secrecy laws</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识别降低受益所有人透明度的公司结构风险特征</w:t>
      </w:r>
    </w:p>
    <w:p>
      <w:pPr>
        <w:spacing w:before="120" w:after="40"/>
      </w:pPr>
      <w:r>
        <w:rPr>
          <w:b/>
          <w:sz w:val="21"/>
          <w:shd w:fill="D6E4F0" w:val="clear"/>
        </w:rPr>
        <w:t>核心解析</w:t>
      </w:r>
    </w:p>
    <w:p>
      <w:pPr>
        <w:spacing w:line="360" w:lineRule="auto" w:after="40"/>
        <w:ind w:firstLine="420"/>
      </w:pPr>
      <w:r>
        <w:t>本题的核心是判断哪些公司结构会通过降低透明度来增加洗钱风险。教材指出，名义股东和董事（nominee shareholders and directors）可被用于隐藏最终受益所有人（UBO）身份，通过模糊化制造匿名层从而增加洗钱风险</w:t>
      </w:r>
      <w:r>
        <w:rPr>
          <w:sz w:val="15"/>
          <w:vertAlign w:val="superscript"/>
        </w:rPr>
        <w:t>P127</w:t>
      </w:r>
      <w:r>
        <w:t>；不记名股票（bearer shares）的持有者即为名义所有人，这种形式使得所有权的识别变得极为困难</w:t>
      </w:r>
      <w:r>
        <w:rPr>
          <w:sz w:val="15"/>
          <w:vertAlign w:val="superscript"/>
        </w:rPr>
        <w:t>P55</w:t>
      </w:r>
      <w:r>
        <w:t>；避税天堂的严格保密法（strict secrecy laws）可进一步隐藏公司真实所有权</w:t>
      </w:r>
      <w:r>
        <w:rPr>
          <w:sz w:val="15"/>
          <w:vertAlign w:val="superscript"/>
        </w:rPr>
        <w:t>P55</w:t>
      </w:r>
      <w:r>
        <w:t>，而客户使用私人投资公司（private investment companies）的目的之一正是为了降低最终受益所有人的透明度</w:t>
      </w:r>
      <w:r>
        <w:rPr>
          <w:sz w:val="15"/>
          <w:vertAlign w:val="superscript"/>
        </w:rPr>
        <w:t>P71</w:t>
      </w:r>
      <w:r>
        <w:t>。选项C、D、E恰好各自代表了这三种典型的降低透明度的机制——代名安排、不记名股票工具、以及保密法域下的私人投资载体，因此都符合题干所问的“因透明度降低而具有更高洗钱风险”。</w:t>
      </w:r>
    </w:p>
    <w:p>
      <w:pPr>
        <w:spacing w:before="120" w:after="40"/>
      </w:pPr>
      <w:r>
        <w:rPr>
          <w:b/>
          <w:sz w:val="21"/>
          <w:shd w:fill="D6E4F0" w:val="clear"/>
        </w:rPr>
        <w:t>A项错误</w:t>
      </w:r>
    </w:p>
    <w:p>
      <w:pPr>
        <w:spacing w:line="360" w:lineRule="auto" w:after="40"/>
        <w:ind w:firstLine="420"/>
      </w:pPr>
      <w:r>
        <w:t>仅在外国司法管辖区注册，不等于透明度的必然降低。教材将风险聚焦于利用了低税或高保密特征的离岸公司</w:t>
      </w:r>
      <w:r>
        <w:rPr>
          <w:sz w:val="15"/>
          <w:vertAlign w:val="superscript"/>
        </w:rPr>
        <w:t>P127</w:t>
      </w:r>
      <w:r>
        <w:t>，而选项A未提及注册地是否具备保密法、名义人或不记名股票等降低透明度的关键要素，因此在匹配度上不如正确项直接。</w:t>
      </w:r>
    </w:p>
    <w:p>
      <w:pPr>
        <w:spacing w:before="120" w:after="40"/>
      </w:pPr>
      <w:r>
        <w:rPr>
          <w:b/>
          <w:sz w:val="21"/>
          <w:shd w:fill="D6E4F0" w:val="clear"/>
        </w:rPr>
        <w:t>B项错误</w:t>
      </w:r>
    </w:p>
    <w:p>
      <w:pPr>
        <w:spacing w:line="360" w:lineRule="auto" w:after="40"/>
        <w:ind w:firstLine="420"/>
      </w:pPr>
      <w:r>
        <w:t>题干强调的是“因透明度降低”而带来的风险，而非所有公司形式。一家在避税天堂“没有任何业务活动”的私营公司，本身不涉及名义人、不记名股票或保密法等降低透明度的特征，其风险来源与正确项所依赖的匿名和隐藏机制不同。</w:t>
      </w:r>
    </w:p>
    <w:p>
      <w:pPr>
        <w:spacing w:before="120" w:after="40"/>
      </w:pPr>
      <w:r>
        <w:rPr>
          <w:b/>
          <w:sz w:val="21"/>
          <w:shd w:fill="D6E4F0" w:val="clear"/>
        </w:rPr>
        <w:t>易错提醒</w:t>
      </w:r>
    </w:p>
    <w:p>
      <w:pPr>
        <w:spacing w:line="360" w:lineRule="auto" w:after="40"/>
        <w:ind w:firstLine="420"/>
      </w:pPr>
      <w:r>
        <w:t>“在外国注册”与“在避税天堂/高保密法域注册”是两回事。教材指出离岸公司之所以增加风险，是因为低税和高保密导致公开记录有限</w:t>
      </w:r>
      <w:r>
        <w:rPr>
          <w:sz w:val="15"/>
          <w:vertAlign w:val="superscript"/>
        </w:rPr>
        <w:t>P127</w:t>
      </w:r>
      <w:r>
        <w:t>；单是身处外国管辖区，若没有低透明度特征，本身并不足以构成高风险。</w:t>
      </w:r>
    </w:p>
    <w:p>
      <w:pPr>
        <w:spacing w:line="360" w:lineRule="auto" w:after="120"/>
      </w:pPr>
      <w:r/>
    </w:p>
    <w:p>
      <w:pPr>
        <w:spacing w:line="360" w:lineRule="auto" w:after="40"/>
      </w:pPr>
      <w:r>
        <w:t>23. Which key financial crime risks relate to the remote gambling sector specifically? (Select three.) ( )</w:t>
      </w:r>
    </w:p>
    <w:p>
      <w:pPr>
        <w:spacing w:line="360" w:lineRule="auto" w:after="20"/>
        <w:ind w:firstLine="283"/>
      </w:pPr>
      <w:r>
        <w:t>A. Customers not being physically present for identification purposes.</w:t>
      </w:r>
    </w:p>
    <w:p>
      <w:pPr>
        <w:spacing w:line="360" w:lineRule="auto" w:after="20"/>
        <w:ind w:firstLine="283"/>
      </w:pPr>
      <w:r>
        <w:t>B. Customers depositing large amounts of cash.</w:t>
      </w:r>
    </w:p>
    <w:p>
      <w:pPr>
        <w:spacing w:line="360" w:lineRule="auto" w:after="20"/>
        <w:ind w:firstLine="283"/>
      </w:pPr>
      <w:r>
        <w:t>C. Customers using anonymous prepaid cards.</w:t>
      </w:r>
    </w:p>
    <w:p>
      <w:pPr>
        <w:spacing w:line="360" w:lineRule="auto" w:after="20"/>
        <w:ind w:firstLine="283"/>
      </w:pPr>
      <w:r>
        <w:t>D. Customers betting more than they can afford.</w:t>
      </w:r>
    </w:p>
    <w:p>
      <w:pPr>
        <w:spacing w:line="360" w:lineRule="auto" w:after="20"/>
        <w:ind w:firstLine="283"/>
      </w:pPr>
      <w:r>
        <w:t>E. Customers making numerous low-level transactions to avoid enhanced due diligence.</w:t>
      </w:r>
    </w:p>
    <w:p>
      <w:pPr>
        <w:spacing w:line="360" w:lineRule="auto" w:after="40"/>
      </w:pPr>
      <w:r>
        <w:t>答案：A、C、E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识别远程博彩非面对面开户、匿名预付卡与结构化交易风险</w:t>
      </w:r>
    </w:p>
    <w:p>
      <w:pPr>
        <w:spacing w:before="120" w:after="40"/>
      </w:pPr>
      <w:r>
        <w:rPr>
          <w:b/>
          <w:sz w:val="21"/>
          <w:shd w:fill="D6E4F0" w:val="clear"/>
        </w:rPr>
        <w:t>核心解析</w:t>
      </w:r>
    </w:p>
    <w:p>
      <w:pPr>
        <w:spacing w:line="360" w:lineRule="auto" w:after="40"/>
        <w:ind w:firstLine="420"/>
      </w:pPr>
      <w:r>
        <w:t>远程博彩的金融犯罪风险首先源于非面对面的客户交互与开户。教材指出在线游戏的快速增长涉及非面对面客户交互和开户</w:t>
      </w:r>
      <w:r>
        <w:rPr>
          <w:sz w:val="15"/>
          <w:vertAlign w:val="superscript"/>
        </w:rPr>
        <w:t>P120</w:t>
      </w:r>
      <w:r>
        <w:t>，这使身份验证更困难，正好对应选项A“客户未亲自到场进行身份验证”。其次，预付卡可匿名购买和充值，且KYC要求极低，容易被用来转移非法资金</w:t>
      </w:r>
      <w:r>
        <w:rPr>
          <w:sz w:val="15"/>
          <w:vertAlign w:val="superscript"/>
        </w:rPr>
        <w:t>P68</w:t>
      </w:r>
      <w:r>
        <w:t>，这正是远程博彩可利用的支付工具，选项C“使用匿名预付卡的客户”直接吻合。再次，博彩业本身面临通过第三方和多笔交易规避报告门槛的结构化交易风险</w:t>
      </w:r>
      <w:r>
        <w:rPr>
          <w:sz w:val="15"/>
          <w:vertAlign w:val="superscript"/>
        </w:rPr>
        <w:t>P121</w:t>
      </w:r>
      <w:r>
        <w:t>，选项E“客户为规避强化尽职调查而频繁进行小额交易”正属于此类结构化行为。相比之下，教材将大量现金交易列为实体赌场（casinos）的典型风险</w:t>
      </w:r>
      <w:r>
        <w:rPr>
          <w:sz w:val="15"/>
          <w:vertAlign w:val="superscript"/>
        </w:rPr>
        <w:t>P120</w:t>
      </w:r>
      <w:r>
        <w:t>，而非远程博彩行业的独有特征；选项D超出承受能力投注则未在教材中被界定为金融犯罪风险。因此选项A、C、E直接对应教材所界定的远程博彩相关风险。</w:t>
      </w:r>
    </w:p>
    <w:p>
      <w:pPr>
        <w:spacing w:before="120" w:after="40"/>
      </w:pPr>
      <w:r>
        <w:rPr>
          <w:b/>
          <w:sz w:val="21"/>
          <w:shd w:fill="D6E4F0" w:val="clear"/>
        </w:rPr>
        <w:t>教材原句</w:t>
      </w:r>
    </w:p>
    <w:p>
      <w:pPr>
        <w:spacing w:line="360" w:lineRule="auto" w:after="40"/>
        <w:ind w:firstLine="420"/>
      </w:pPr>
      <w:r>
        <w:t>"This situation is further complicated by the rapid growth of online gaming, which involves non-face-to-face customer interactions and onboarding, along with emerging technologies that often introduce vulnerabilities alongside opportunity."</w:t>
      </w:r>
    </w:p>
    <w:p>
      <w:pPr>
        <w:spacing w:before="120" w:after="40"/>
      </w:pPr>
      <w:r>
        <w:rPr>
          <w:b/>
          <w:sz w:val="21"/>
          <w:shd w:fill="D6E4F0" w:val="clear"/>
        </w:rPr>
        <w:t>B项错误</w:t>
      </w:r>
    </w:p>
    <w:p>
      <w:pPr>
        <w:spacing w:line="360" w:lineRule="auto" w:after="40"/>
        <w:ind w:firstLine="420"/>
      </w:pPr>
      <w:r>
        <w:t>教材将大量现金交易列为实体赌场（casinos）的固有风险</w:t>
      </w:r>
      <w:r>
        <w:rPr>
          <w:sz w:val="15"/>
          <w:vertAlign w:val="superscript"/>
        </w:rPr>
        <w:t>P120</w:t>
      </w:r>
      <w:r>
        <w:t>。题干问的是“远程博彩行业”，远程博彩不涉及现金存款，相比A、C、E分别直接匹配非面对面验证、匿名支付工具和结构化交易，B的匹配度更低。</w:t>
      </w:r>
    </w:p>
    <w:p>
      <w:pPr>
        <w:spacing w:before="120" w:after="40"/>
      </w:pPr>
      <w:r>
        <w:rPr>
          <w:b/>
          <w:sz w:val="21"/>
          <w:shd w:fill="D6E4F0" w:val="clear"/>
        </w:rPr>
        <w:t>D项错误</w:t>
      </w:r>
    </w:p>
    <w:p>
      <w:pPr>
        <w:spacing w:line="360" w:lineRule="auto" w:after="40"/>
        <w:ind w:firstLine="420"/>
      </w:pPr>
      <w:r>
        <w:t>教材未将超出自身承受能力进行投注列为金融犯罪风险，该情形更接近负责任博彩的范畴，而非题干所要求的“关键的金融犯罪风险”，故不匹配。</w:t>
      </w:r>
    </w:p>
    <w:p>
      <w:pPr>
        <w:spacing w:before="120" w:after="40"/>
      </w:pPr>
      <w:r>
        <w:rPr>
          <w:b/>
          <w:sz w:val="21"/>
          <w:shd w:fill="D6E4F0" w:val="clear"/>
        </w:rPr>
        <w:t>易错提醒</w:t>
      </w:r>
    </w:p>
    <w:p>
      <w:pPr>
        <w:spacing w:line="360" w:lineRule="auto" w:after="40"/>
        <w:ind w:firstLine="420"/>
      </w:pPr>
      <w:r>
        <w:t>实体赌场的核心风险特征是大额现金交易</w:t>
      </w:r>
      <w:r>
        <w:rPr>
          <w:sz w:val="15"/>
          <w:vertAlign w:val="superscript"/>
        </w:rPr>
        <w:t>P120</w:t>
      </w:r>
      <w:r>
        <w:t>，而远程博彩的核心风险在于非面对面身份验证、匿名支付工具和结构化交易。不要将实体赌场的风险套用到远程博彩。</w:t>
      </w:r>
    </w:p>
    <w:p>
      <w:pPr>
        <w:spacing w:line="360" w:lineRule="auto" w:after="120"/>
      </w:pPr>
      <w:r/>
    </w:p>
    <w:p>
      <w:pPr>
        <w:spacing w:line="360" w:lineRule="auto" w:after="40"/>
      </w:pPr>
      <w:r>
        <w:t>24. Professional service providers, including lawyers, accountants, investment brokers, and other third parties, may abuse their positions to facilitate money laundering. Which financial crime risks are associated with this type of abuse? (Select Three.) ( )</w:t>
      </w:r>
    </w:p>
    <w:p>
      <w:pPr>
        <w:spacing w:line="360" w:lineRule="auto" w:after="20"/>
        <w:ind w:firstLine="283"/>
      </w:pPr>
      <w:r>
        <w:t>A. Opening an account to settle an estate on behalf of a client</w:t>
      </w:r>
    </w:p>
    <w:p>
      <w:pPr>
        <w:spacing w:line="360" w:lineRule="auto" w:after="20"/>
        <w:ind w:firstLine="283"/>
      </w:pPr>
      <w:r>
        <w:t>B. Establishing shell companies to enable money laundering activities, including placement or layering</w:t>
      </w:r>
    </w:p>
    <w:p>
      <w:pPr>
        <w:spacing w:line="360" w:lineRule="auto" w:after="20"/>
        <w:ind w:firstLine="283"/>
      </w:pPr>
      <w:r>
        <w:t>C. Opening third-party accounts for the primary purpose of masking the underlying client's identity</w:t>
      </w:r>
    </w:p>
    <w:p>
      <w:pPr>
        <w:spacing w:line="360" w:lineRule="auto" w:after="20"/>
        <w:ind w:firstLine="283"/>
      </w:pPr>
      <w:r>
        <w:t>D. Opening a trust account to facilitate a legitimate real estate transaction</w:t>
      </w:r>
    </w:p>
    <w:p>
      <w:pPr>
        <w:spacing w:line="360" w:lineRule="auto" w:after="20"/>
        <w:ind w:firstLine="283"/>
      </w:pPr>
      <w:r>
        <w:t>E. Directing or facilitating the laundering of illicit funds, including structuring transactions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识别DNFBPs被滥用于洗钱的典型风险类型</w:t>
      </w:r>
    </w:p>
    <w:p>
      <w:pPr>
        <w:spacing w:before="120" w:after="40"/>
      </w:pPr>
      <w:r>
        <w:rPr>
          <w:b/>
          <w:sz w:val="21"/>
          <w:shd w:fill="D6E4F0" w:val="clear"/>
        </w:rPr>
        <w:t>核心解析</w:t>
      </w:r>
    </w:p>
    <w:p>
      <w:pPr>
        <w:spacing w:line="360" w:lineRule="auto" w:after="40"/>
        <w:ind w:firstLine="420"/>
      </w:pPr>
      <w:r>
        <w:t>指定非金融行业和职业（DNFBPs）如律师、会计师、信托或公司服务提供商，在缺乏有效管控时，其专业服务可能被犯罪分子利用来隐藏非法资金来源或受益所有人。教材指出，律师可能协助设立壳公司等复杂结构以隐藏真实受益人</w:t>
      </w:r>
      <w:r>
        <w:rPr>
          <w:sz w:val="15"/>
          <w:vertAlign w:val="superscript"/>
        </w:rPr>
        <w:t>P119</w:t>
      </w:r>
      <w:r>
        <w:t>；信托或公司服务提供商创建的结构会掩盖受益所有人和资金来源</w:t>
      </w:r>
      <w:r>
        <w:rPr>
          <w:sz w:val="15"/>
          <w:vertAlign w:val="superscript"/>
        </w:rPr>
        <w:t>P120</w:t>
      </w:r>
      <w:r>
        <w:t>；会计师可能无意中创建复杂结构为非法活动提供便利，如拆分交易</w:t>
      </w:r>
      <w:r>
        <w:rPr>
          <w:sz w:val="15"/>
          <w:vertAlign w:val="superscript"/>
        </w:rPr>
        <w:t>P123</w:t>
      </w:r>
      <w:r>
        <w:t>。本题题干问及专业服务提供者滥用职位为洗钱提供便利所关联的金融犯罪风险，选项B“设立空壳公司以实施洗钱活动”、C“为掩盖实际客户身份而开设第三方账户”、E“指导或协助洗钱，包括安排交易以规避监管”分别直接对应上述教材明确列举的滥用方式，因此B、C、E成立。</w:t>
      </w:r>
    </w:p>
    <w:p>
      <w:pPr>
        <w:spacing w:before="120" w:after="40"/>
      </w:pPr>
      <w:r>
        <w:rPr>
          <w:b/>
          <w:sz w:val="21"/>
          <w:shd w:fill="D6E4F0" w:val="clear"/>
        </w:rPr>
        <w:t>教材原句</w:t>
      </w:r>
    </w:p>
    <w:p>
      <w:pPr>
        <w:spacing w:line="360" w:lineRule="auto" w:after="40"/>
        <w:ind w:firstLine="420"/>
      </w:pPr>
      <w:r>
        <w:t>"Lawyers might assist in establishing complex structures, such as trusts or shell companies, which can conceal the identities of true beneficiaries."</w:t>
      </w:r>
    </w:p>
    <w:p>
      <w:pPr>
        <w:spacing w:before="120" w:after="40"/>
      </w:pPr>
      <w:r>
        <w:rPr>
          <w:b/>
          <w:sz w:val="21"/>
          <w:shd w:fill="D6E4F0" w:val="clear"/>
        </w:rPr>
        <w:t>A项错误</w:t>
      </w:r>
    </w:p>
    <w:p>
      <w:pPr>
        <w:spacing w:line="360" w:lineRule="auto" w:after="40"/>
        <w:ind w:firstLine="420"/>
      </w:pPr>
      <w:r>
        <w:t>为客户开设账户以处理遗产事宜属于信托和律师的合法用途</w:t>
      </w:r>
      <w:r>
        <w:rPr>
          <w:sz w:val="15"/>
          <w:vertAlign w:val="superscript"/>
        </w:rPr>
        <w:t>P73</w:t>
      </w:r>
      <w:r>
        <w:t>，教材将其列为正当的继承与遗产规划活动。题干关注的是专业服务被滥用于洗钱的风险，合法服务本身并不直接构成金融犯罪风险，因此匹配度远低于选项B、C、E所描述的滥用性安排。</w:t>
      </w:r>
    </w:p>
    <w:p>
      <w:pPr>
        <w:spacing w:before="120" w:after="40"/>
      </w:pPr>
      <w:r>
        <w:rPr>
          <w:b/>
          <w:sz w:val="21"/>
          <w:shd w:fill="D6E4F0" w:val="clear"/>
        </w:rPr>
        <w:t>D项错误</w:t>
      </w:r>
    </w:p>
    <w:p>
      <w:pPr>
        <w:spacing w:line="360" w:lineRule="auto" w:after="40"/>
        <w:ind w:firstLine="420"/>
      </w:pPr>
      <w:r>
        <w:t>开设信托账户以促成合法的房地产交易同样属于信托的正常功能</w:t>
      </w:r>
      <w:r>
        <w:rPr>
          <w:sz w:val="15"/>
          <w:vertAlign w:val="superscript"/>
        </w:rPr>
        <w:t>P73</w:t>
      </w:r>
      <w:r>
        <w:t>，题干旨在识别滥用行为引发的犯罪风险，而非专业服务的合法运用。相比之下，正确项B、C、E均指向为隐藏身份或协助非法资金流动而设计的结构，更贴合教材对DNFBPs洗钱风险的描述。</w:t>
      </w:r>
    </w:p>
    <w:p>
      <w:pPr>
        <w:spacing w:line="360" w:lineRule="auto" w:after="120"/>
      </w:pPr>
      <w:r/>
    </w:p>
    <w:p>
      <w:pPr>
        <w:spacing w:line="360" w:lineRule="auto" w:after="40"/>
      </w:pPr>
      <w:r>
        <w:t>25. Which of the following activities are identified by the Financial Action Task Force (FATF) as being potentially indicative of money laundering through the real estate sector? (Select Four.) ( )</w:t>
      </w:r>
    </w:p>
    <w:p>
      <w:pPr>
        <w:spacing w:line="360" w:lineRule="auto" w:after="20"/>
        <w:ind w:firstLine="283"/>
      </w:pPr>
      <w:r>
        <w:t>A. Use of mortgage products</w:t>
      </w:r>
    </w:p>
    <w:p>
      <w:pPr>
        <w:spacing w:line="360" w:lineRule="auto" w:after="20"/>
        <w:ind w:firstLine="283"/>
      </w:pPr>
      <w:r>
        <w:t>B. Use of commercial properties inconsistent with stated business purposes</w:t>
      </w:r>
    </w:p>
    <w:p>
      <w:pPr>
        <w:spacing w:line="360" w:lineRule="auto" w:after="20"/>
        <w:ind w:firstLine="283"/>
      </w:pPr>
      <w:r>
        <w:t>C. Use of complex loans or credit finance</w:t>
      </w:r>
    </w:p>
    <w:p>
      <w:pPr>
        <w:spacing w:line="360" w:lineRule="auto" w:after="20"/>
        <w:ind w:firstLine="283"/>
      </w:pPr>
      <w:r>
        <w:t>D. Use of corporate vehicles or complex ownership structures</w:t>
      </w:r>
    </w:p>
    <w:p>
      <w:pPr>
        <w:spacing w:line="360" w:lineRule="auto" w:after="20"/>
        <w:ind w:firstLine="283"/>
      </w:pPr>
      <w:r>
        <w:t>E. Unexplained cash payments</w:t>
      </w:r>
    </w:p>
    <w:p>
      <w:pPr>
        <w:spacing w:line="360" w:lineRule="auto" w:after="20"/>
        <w:ind w:firstLine="283"/>
      </w:pPr>
      <w:r>
        <w:t>F. Use of agricultural land in rural areas</w:t>
      </w:r>
    </w:p>
    <w:p>
      <w:pPr>
        <w:spacing w:line="360" w:lineRule="auto" w:after="40"/>
      </w:pPr>
      <w:r>
        <w:t>答案：B、C、D、E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识别FATF房地产行业洗钱红旗信号</w:t>
      </w:r>
    </w:p>
    <w:p>
      <w:pPr>
        <w:spacing w:before="120" w:after="40"/>
      </w:pPr>
      <w:r>
        <w:rPr>
          <w:b/>
          <w:sz w:val="21"/>
          <w:shd w:fill="D6E4F0" w:val="clear"/>
        </w:rPr>
        <w:t>核心解析</w:t>
      </w:r>
    </w:p>
    <w:p>
      <w:pPr>
        <w:spacing w:line="360" w:lineRule="auto" w:after="40"/>
        <w:ind w:firstLine="420"/>
      </w:pPr>
      <w:r>
        <w:t>FATF在房地产领域列出了多项洗钱风险指标：由公司、信托或代名人购买房产且无合理解释是红旗</w:t>
      </w:r>
      <w:r>
        <w:rPr>
          <w:sz w:val="15"/>
          <w:vertAlign w:val="superscript"/>
        </w:rPr>
        <w:t>P121</w:t>
      </w:r>
      <w:r>
        <w:t>，若购买实体业务活动极少则进一步加深担忧</w:t>
      </w:r>
      <w:r>
        <w:rPr>
          <w:sz w:val="15"/>
          <w:vertAlign w:val="superscript"/>
        </w:rPr>
        <w:t>P122</w:t>
      </w:r>
      <w:r>
        <w:t>；现金交易因难以追踪而增加洗钱风险，全部或主要用现金支付属于红旗</w:t>
      </w:r>
      <w:r>
        <w:rPr>
          <w:sz w:val="15"/>
          <w:vertAlign w:val="superscript"/>
        </w:rPr>
        <w:t>P122</w:t>
      </w:r>
      <w:r>
        <w:t>；在银行业中，复杂产品如贸易融资、贷款等环境可被洗钱者利用</w:t>
      </w:r>
      <w:r>
        <w:rPr>
          <w:sz w:val="15"/>
          <w:vertAlign w:val="superscript"/>
        </w:rPr>
        <w:t>P54</w:t>
      </w:r>
      <w:r>
        <w:t>；使用壳公司等复杂所有权结构则能掩盖受益所有人，阻碍资金溯源</w:t>
      </w:r>
      <w:r>
        <w:rPr>
          <w:sz w:val="15"/>
          <w:vertAlign w:val="superscript"/>
        </w:rPr>
        <w:t>P128</w:t>
      </w:r>
      <w:r>
        <w:t>。题干选项B“商业用途与声明的业务目的不符的商业物业使用情况”直接吻合业务活动与目的不一致的风险信号，选项C“复杂贷款或信贷融资的使用”对应复杂金融产品被利用的场景，选项D“使用公司载体或复杂的所有权结构”与公司实体购房及壳公司结构相呼应，选项E“无法解释的现金支付”匹配现金交易风险指标，因此这四项均属于FATF认定的房地产洗钱迹象。</w:t>
      </w:r>
    </w:p>
    <w:p>
      <w:pPr>
        <w:spacing w:before="120" w:after="40"/>
      </w:pPr>
      <w:r>
        <w:rPr>
          <w:b/>
          <w:sz w:val="21"/>
          <w:shd w:fill="D6E4F0" w:val="clear"/>
        </w:rPr>
        <w:t>教材原句</w:t>
      </w:r>
    </w:p>
    <w:p>
      <w:pPr>
        <w:spacing w:line="360" w:lineRule="auto" w:after="40"/>
        <w:ind w:firstLine="420"/>
      </w:pPr>
      <w:r>
        <w:t>"For example, properties acquired by corporate entities, trusts, or nominees without a clear justification as to why they were not purchased directly by an individual are red flags."</w:t>
      </w:r>
    </w:p>
    <w:p>
      <w:pPr>
        <w:spacing w:before="120" w:after="40"/>
      </w:pPr>
      <w:r>
        <w:rPr>
          <w:b/>
          <w:sz w:val="21"/>
          <w:shd w:fill="D6E4F0" w:val="clear"/>
        </w:rPr>
        <w:t>A项错误</w:t>
      </w:r>
    </w:p>
    <w:p>
      <w:pPr>
        <w:spacing w:line="360" w:lineRule="auto" w:after="40"/>
        <w:ind w:firstLine="420"/>
      </w:pPr>
      <w:r>
        <w:t>抵押贷款产品属于信贷相关基础服务</w:t>
      </w:r>
      <w:r>
        <w:rPr>
          <w:sz w:val="15"/>
          <w:vertAlign w:val="superscript"/>
        </w:rPr>
        <w:t>P67</w:t>
      </w:r>
      <w:r>
        <w:t>，教材并未将其单独列为房地产洗钱迹象；相比之下，使用复杂贷款或信贷融资更直接指向教材所警示的复杂产品被利用来洗钱的风险</w:t>
      </w:r>
      <w:r>
        <w:rPr>
          <w:sz w:val="15"/>
          <w:vertAlign w:val="superscript"/>
        </w:rPr>
        <w:t>P54</w:t>
      </w:r>
      <w:r>
        <w:t>。</w:t>
      </w:r>
    </w:p>
    <w:p>
      <w:pPr>
        <w:spacing w:line="360" w:lineRule="auto" w:after="40"/>
        <w:ind w:firstLine="420"/>
      </w:pPr>
      <w:r>
        <w:t>F项错误：教材在房地产洗钱风险指标中未涉及农业用地或农村地区土地类型，题干未提供FATF将此类土地使用视为洗钱迹象的依据，因此与正确项相比匹配度明显不足。</w:t>
      </w:r>
    </w:p>
    <w:p>
      <w:pPr>
        <w:spacing w:before="120" w:after="40"/>
      </w:pPr>
      <w:r>
        <w:rPr>
          <w:b/>
          <w:sz w:val="21"/>
          <w:shd w:fill="D6E4F0" w:val="clear"/>
        </w:rPr>
        <w:t>易错提醒</w:t>
      </w:r>
    </w:p>
    <w:p>
      <w:pPr>
        <w:spacing w:line="360" w:lineRule="auto" w:after="40"/>
        <w:ind w:firstLine="420"/>
      </w:pPr>
      <w:r>
        <w:t>需区分“常规贷款产品”与“复杂贷款或信贷融资”。房贷、个人贷款等是正常银行业务</w:t>
      </w:r>
      <w:r>
        <w:rPr>
          <w:sz w:val="15"/>
          <w:vertAlign w:val="superscript"/>
        </w:rPr>
        <w:t>P67</w:t>
      </w:r>
      <w:r>
        <w:t>，本身并非红旗信号；而复杂贷款或信贷融资因结构或条款不透明，可能用于分层资金，被教材列为银行复杂产品中的洗钱风险</w:t>
      </w:r>
      <w:r>
        <w:rPr>
          <w:sz w:val="15"/>
          <w:vertAlign w:val="superscript"/>
        </w:rPr>
        <w:t>P54</w:t>
      </w:r>
      <w:r>
        <w:t>。</w:t>
      </w:r>
    </w:p>
    <w:p>
      <w:pPr>
        <w:spacing w:line="360" w:lineRule="auto" w:after="120"/>
      </w:pPr>
      <w:r/>
    </w:p>
    <w:p>
      <w:pPr>
        <w:spacing w:line="360" w:lineRule="auto" w:after="40"/>
      </w:pPr>
      <w:r>
        <w:t>26. Which risks are specifically associated with the misuse of gaming accounts in financial crime? (Choose three.) ( )</w:t>
      </w:r>
    </w:p>
    <w:p>
      <w:pPr>
        <w:spacing w:line="360" w:lineRule="auto" w:after="20"/>
        <w:ind w:firstLine="283"/>
      </w:pPr>
      <w:r>
        <w:t>A. Using gaming accounts to transfer illicit funds between players undetected</w:t>
      </w:r>
    </w:p>
    <w:p>
      <w:pPr>
        <w:spacing w:line="360" w:lineRule="auto" w:after="20"/>
        <w:ind w:firstLine="283"/>
      </w:pPr>
      <w:r>
        <w:t>B. Structuring transactions to avoid reporting thresholds by keeping them under certain limits</w:t>
      </w:r>
    </w:p>
    <w:p>
      <w:pPr>
        <w:spacing w:line="360" w:lineRule="auto" w:after="20"/>
        <w:ind w:firstLine="283"/>
      </w:pPr>
      <w:r>
        <w:t>C. Providing false personal information to evade regulatory oversight</w:t>
      </w:r>
    </w:p>
    <w:p>
      <w:pPr>
        <w:spacing w:line="360" w:lineRule="auto" w:after="20"/>
        <w:ind w:firstLine="283"/>
      </w:pPr>
      <w:r>
        <w:t>D. Ensuring identity verification is completed prior to the onboarding of new customers</w:t>
      </w:r>
    </w:p>
    <w:p>
      <w:pPr>
        <w:spacing w:line="360" w:lineRule="auto" w:after="20"/>
        <w:ind w:firstLine="283"/>
      </w:pPr>
      <w:r>
        <w:t>E. Investing all gaming winnings into high-risk stocks to conceal funds</w:t>
      </w:r>
    </w:p>
    <w:p>
      <w:pPr>
        <w:spacing w:line="360" w:lineRule="auto" w:after="40"/>
      </w:pPr>
      <w:r>
        <w:t>答案：A、B、C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识别博彩业场景下的结构化交易、价值转移与身份伪造风险</w:t>
      </w:r>
    </w:p>
    <w:p>
      <w:pPr>
        <w:spacing w:before="120" w:after="40"/>
      </w:pPr>
      <w:r>
        <w:rPr>
          <w:b/>
          <w:sz w:val="21"/>
          <w:shd w:fill="D6E4F0" w:val="clear"/>
        </w:rPr>
        <w:t>核心解析</w:t>
      </w:r>
    </w:p>
    <w:p>
      <w:pPr>
        <w:spacing w:line="360" w:lineRule="auto" w:after="40"/>
        <w:ind w:firstLine="420"/>
      </w:pPr>
      <w:r>
        <w:t>实体和在线博彩均易受某些金融犯罪风险的影响</w:t>
      </w:r>
      <w:r>
        <w:rPr>
          <w:sz w:val="15"/>
          <w:vertAlign w:val="superscript"/>
        </w:rPr>
        <w:t>P121</w:t>
      </w:r>
      <w:r>
        <w:t>。题干问的是游戏账户被滥用带来的具体风险，教材在博彩业风险部分列出了三类与之直接吻合的典型手法：第一，在P2P或串通博彩中，参与者可能故意输给另一个玩家以转移价值，对应利用游戏账号在玩家之间转移非法资金</w:t>
      </w:r>
      <w:r>
        <w:rPr>
          <w:sz w:val="15"/>
          <w:vertAlign w:val="superscript"/>
        </w:rPr>
        <w:t>P121</w:t>
      </w:r>
      <w:r>
        <w:t>；第二，博彩业存在通过第三方和多笔交易来规避报告门槛的结构化交易风险，对应将交易金额控制在报告门槛以下的安排</w:t>
      </w:r>
      <w:r>
        <w:rPr>
          <w:sz w:val="15"/>
          <w:vertAlign w:val="superscript"/>
        </w:rPr>
        <w:t>P121</w:t>
      </w:r>
      <w:r>
        <w:t>；第三，赌场和在线运营商容易遭受使用伪造文件开设多个账户的洗钱方式，对应提供虚假个人信息以逃避监管审查</w:t>
      </w:r>
      <w:r>
        <w:rPr>
          <w:sz w:val="15"/>
          <w:vertAlign w:val="superscript"/>
        </w:rPr>
        <w:t>P120</w:t>
      </w:r>
      <w:r>
        <w:t>。这三项都是教材明确描述的游戏账户相关洗钱风险，且题干逐项与之匹配。</w:t>
      </w:r>
    </w:p>
    <w:p>
      <w:pPr>
        <w:spacing w:before="120" w:after="40"/>
      </w:pPr>
      <w:r>
        <w:rPr>
          <w:b/>
          <w:sz w:val="21"/>
          <w:shd w:fill="D6E4F0" w:val="clear"/>
        </w:rPr>
        <w:t>D项错误</w:t>
      </w:r>
    </w:p>
    <w:p>
      <w:pPr>
        <w:spacing w:line="360" w:lineRule="auto" w:after="40"/>
        <w:ind w:firstLine="420"/>
      </w:pPr>
      <w:r>
        <w:t>确保新客户入职前完成身份验证是一项风险缓释措施，而非滥用游戏账户带来的风险。题干问的是“被滥用会带来哪些具体风险”，D描述的行为方向与题干相反，在教材框架下更贴近反洗钱合规控制，而非风险本身。</w:t>
      </w:r>
    </w:p>
    <w:p>
      <w:pPr>
        <w:spacing w:before="120" w:after="40"/>
      </w:pPr>
      <w:r>
        <w:rPr>
          <w:b/>
          <w:sz w:val="21"/>
          <w:shd w:fill="D6E4F0" w:val="clear"/>
        </w:rPr>
        <w:t>E项错误</w:t>
      </w:r>
    </w:p>
    <w:p>
      <w:pPr>
        <w:spacing w:line="360" w:lineRule="auto" w:after="40"/>
        <w:ind w:firstLine="420"/>
      </w:pPr>
      <w:r>
        <w:t>将博彩赢得的钱投入高风险股票属于离析阶段的投资行为，教材提到犯罪分子利用股票等投资工具分层非法资金</w:t>
      </w:r>
      <w:r>
        <w:rPr>
          <w:sz w:val="15"/>
          <w:vertAlign w:val="superscript"/>
        </w:rPr>
        <w:t>P18</w:t>
      </w:r>
      <w:r>
        <w:t>，但这并非游戏账户滥用本身的风险，而是资金离开游戏账户之后的后续处理手段。相比之下，正确项A、B、C均为发生在游戏账户内部或开户环节的滥用行为，更直接匹配题干对“游戏账户被滥用”的限定。</w:t>
      </w:r>
    </w:p>
    <w:p>
      <w:pPr>
        <w:spacing w:before="120" w:after="40"/>
      </w:pPr>
      <w:r>
        <w:rPr>
          <w:b/>
          <w:sz w:val="21"/>
          <w:shd w:fill="D6E4F0" w:val="clear"/>
        </w:rPr>
        <w:t>易错提醒</w:t>
      </w:r>
    </w:p>
    <w:p>
      <w:pPr>
        <w:spacing w:line="360" w:lineRule="auto" w:after="40"/>
        <w:ind w:firstLine="420"/>
      </w:pPr>
      <w:r>
        <w:t>D项描述的身份验证是反洗钱控制措施，不是风险。题目问的是风险（可能被利用的漏洞），而非对风险的防范。两者方向相反——控制措施是“防止”滥用，风险是“被”滥用。看到选项时先判断它是“进攻”（犯罪分子在做什么）还是“防守”（机构在做什么），题干问“风险”时选进攻性的描述。</w:t>
      </w:r>
    </w:p>
    <w:p>
      <w:pPr>
        <w:spacing w:line="360" w:lineRule="auto" w:after="120"/>
      </w:pPr>
      <w:r/>
    </w:p>
    <w:p>
      <w:pPr>
        <w:spacing w:line="360" w:lineRule="auto" w:after="40"/>
      </w:pPr>
      <w:r>
        <w:t>27. How do nominees benefit criminals misusing them for money laundering purposes? (Select Two.) ( )</w:t>
      </w:r>
    </w:p>
    <w:p>
      <w:pPr>
        <w:spacing w:line="360" w:lineRule="auto" w:after="20"/>
        <w:ind w:firstLine="283"/>
      </w:pPr>
      <w:r>
        <w:t>A. Allow beneficial owners to provide proxies for voting on corporate decisions</w:t>
      </w:r>
    </w:p>
    <w:p>
      <w:pPr>
        <w:spacing w:line="360" w:lineRule="auto" w:after="20"/>
        <w:ind w:firstLine="283"/>
      </w:pPr>
      <w:r>
        <w:t>B. Obscure beneficial ownership</w:t>
      </w:r>
    </w:p>
    <w:p>
      <w:pPr>
        <w:spacing w:line="360" w:lineRule="auto" w:after="20"/>
        <w:ind w:firstLine="283"/>
      </w:pPr>
      <w:r>
        <w:t>C. Allow domicile in the nominee's jurisdiction</w:t>
      </w:r>
    </w:p>
    <w:p>
      <w:pPr>
        <w:spacing w:line="360" w:lineRule="auto" w:after="20"/>
        <w:ind w:firstLine="283"/>
      </w:pPr>
      <w:r>
        <w:t>D. Derail investigations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名义人便利洗钱的核心方式：隐藏受益所有权与干扰调查</w:t>
      </w:r>
    </w:p>
    <w:p>
      <w:pPr>
        <w:spacing w:before="120" w:after="40"/>
      </w:pPr>
      <w:r>
        <w:rPr>
          <w:b/>
          <w:sz w:val="21"/>
          <w:shd w:fill="D6E4F0" w:val="clear"/>
        </w:rPr>
        <w:t>核心解析</w:t>
      </w:r>
    </w:p>
    <w:p>
      <w:pPr>
        <w:spacing w:line="360" w:lineRule="auto" w:after="40"/>
        <w:ind w:firstLine="420"/>
      </w:pPr>
      <w:r>
        <w:t>名义董事或股东可被用于隐藏最终受益所有人（UBO）身份，通过匿名层增加洗钱风险</w:t>
      </w:r>
      <w:r>
        <w:rPr>
          <w:sz w:val="15"/>
          <w:vertAlign w:val="superscript"/>
        </w:rPr>
        <w:t>P127</w:t>
      </w:r>
      <w:r>
        <w:t>。同时，犯罪分子可利用名义结构远离非法活动，并将其作为在监管薄弱辖区转移资金的掩护</w:t>
      </w:r>
      <w:r>
        <w:rPr>
          <w:sz w:val="15"/>
          <w:vertAlign w:val="superscript"/>
        </w:rPr>
        <w:t>P127</w:t>
      </w:r>
      <w:r>
        <w:t>。由此，名义人通过掩盖真实所有权（选项B）以使资金溯源复杂化，并借此脱离犯罪直接关联、制造调查障碍（选项D），从而为洗钱提供便利。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代理投票权属于公司治理层面的安排，与洗钱便利的核心机制——隐藏受益所有人身份或阻挠资金追踪——关联较弱。教材讨论名义人滥用风险时未将代理投票列为典型手段，相比之下，选项B和D更直接吻合教材对名义结构洗钱风险的界定。</w:t>
      </w:r>
    </w:p>
    <w:p>
      <w:pPr>
        <w:spacing w:before="120" w:after="40"/>
      </w:pPr>
      <w:r>
        <w:rPr>
          <w:b/>
          <w:sz w:val="21"/>
          <w:shd w:fill="D6E4F0" w:val="clear"/>
        </w:rPr>
        <w:t>C项错误</w:t>
      </w:r>
    </w:p>
    <w:p>
      <w:pPr>
        <w:spacing w:line="360" w:lineRule="auto" w:after="40"/>
        <w:ind w:firstLine="420"/>
      </w:pPr>
      <w:r>
        <w:t>允许在名义人所在司法管辖区设立住所本身是公司注册的常见安排，并不必然构成洗钱便利。教材强调名义人被用于模糊所有权结构和作为跨境资金转移的掩护，而非单纯提供住所地。题干问的是直接便利洗钱的方式，设立住所相比隐藏受益所有权和干扰调查，与教材描述的名义人风险特征匹配度更低。</w:t>
      </w:r>
    </w:p>
    <w:p>
      <w:pPr>
        <w:spacing w:before="120" w:after="40"/>
      </w:pPr>
      <w:r>
        <w:rPr>
          <w:b/>
          <w:sz w:val="21"/>
          <w:shd w:fill="D6E4F0" w:val="clear"/>
        </w:rPr>
        <w:t>易错提醒</w:t>
      </w:r>
    </w:p>
    <w:p>
      <w:pPr>
        <w:spacing w:line="360" w:lineRule="auto" w:after="40"/>
        <w:ind w:firstLine="420"/>
      </w:pPr>
      <w:r>
        <w:t>名义人提供的合法商业服务（如代理投票、设立住所）与洗钱便利的核心区别在于是否直接创造受益所有权的匿名性，或是否刻意阻碍非法资金来源的追踪。若一项安排仅涉及日常公司治理或注册地址，而未实质隐藏真实控制人或干扰调查，则不属于教材强调的名义人洗钱风险。</w:t>
      </w:r>
    </w:p>
    <w:p>
      <w:pPr>
        <w:spacing w:line="360" w:lineRule="auto" w:after="120"/>
      </w:pPr>
      <w:r/>
    </w:p>
    <w:p>
      <w:pPr>
        <w:spacing w:line="360" w:lineRule="auto" w:after="40"/>
      </w:pPr>
      <w:r>
        <w:t>28. Which characteristics of trust and company service providers (TCSPs) can potentially make them vulnerable to financial crime? (Select Three.) ( )</w:t>
      </w:r>
    </w:p>
    <w:p>
      <w:pPr>
        <w:spacing w:line="360" w:lineRule="auto" w:after="20"/>
        <w:ind w:firstLine="283"/>
      </w:pPr>
      <w:r>
        <w:t>A. They may market themselves specifically to criminals</w:t>
      </w:r>
    </w:p>
    <w:p>
      <w:pPr>
        <w:spacing w:line="360" w:lineRule="auto" w:after="20"/>
        <w:ind w:firstLine="283"/>
      </w:pPr>
      <w:r>
        <w:t>B. Offering nominee directors may increase anonymity by concealing true ownership</w:t>
      </w:r>
    </w:p>
    <w:p>
      <w:pPr>
        <w:spacing w:line="360" w:lineRule="auto" w:after="20"/>
        <w:ind w:firstLine="283"/>
      </w:pPr>
      <w:r>
        <w:t>C. They do not have to comply with AML regulations in most jurisdictions</w:t>
      </w:r>
    </w:p>
    <w:p>
      <w:pPr>
        <w:spacing w:line="360" w:lineRule="auto" w:after="20"/>
        <w:ind w:firstLine="283"/>
      </w:pPr>
      <w:r>
        <w:t>D. Selling ready-made, off-the-shelf companies to offshore intermediaries</w:t>
      </w:r>
    </w:p>
    <w:p>
      <w:pPr>
        <w:spacing w:line="360" w:lineRule="auto" w:after="20"/>
        <w:ind w:firstLine="283"/>
      </w:pPr>
      <w:r>
        <w:t>E. Having minimal face-to-face contact with customers, particularly in offshore arrangements</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TCSP业务特征如何通过匿名性和离岸渠道增加洗钱风险</w:t>
      </w:r>
    </w:p>
    <w:p>
      <w:pPr>
        <w:spacing w:before="120" w:after="40"/>
      </w:pPr>
      <w:r>
        <w:rPr>
          <w:b/>
          <w:sz w:val="21"/>
          <w:shd w:fill="D6E4F0" w:val="clear"/>
        </w:rPr>
        <w:t>核心解析</w:t>
      </w:r>
    </w:p>
    <w:p>
      <w:pPr>
        <w:spacing w:line="360" w:lineRule="auto" w:after="40"/>
        <w:ind w:firstLine="420"/>
      </w:pPr>
      <w:r>
        <w:t>代名董事或股东可被用于隐藏最终受益所有人身份，增加洗钱风险</w:t>
      </w:r>
      <w:r>
        <w:rPr>
          <w:sz w:val="15"/>
          <w:vertAlign w:val="superscript"/>
        </w:rPr>
        <w:t>P127</w:t>
      </w:r>
      <w:r>
        <w:t>。现成公司带来更高的洗钱风险</w:t>
      </w:r>
      <w:r>
        <w:rPr>
          <w:sz w:val="15"/>
          <w:vertAlign w:val="superscript"/>
        </w:rPr>
        <w:t>P127</w:t>
      </w:r>
      <w:r>
        <w:t>。离岸公司面临有限的公开记录和复杂的国际交易流，使TCSP成为重要的守门人</w:t>
      </w:r>
      <w:r>
        <w:rPr>
          <w:sz w:val="15"/>
          <w:vertAlign w:val="superscript"/>
        </w:rPr>
        <w:t>P127</w:t>
      </w:r>
      <w:r>
        <w:t>，同时非面对面业务关系在未采取适当风险缓解措施时被视为高风险</w:t>
      </w:r>
      <w:r>
        <w:rPr>
          <w:sz w:val="15"/>
          <w:vertAlign w:val="superscript"/>
        </w:rPr>
        <w:t>P404</w:t>
      </w:r>
      <w:r>
        <w:t>。本题中，B项提供代名董事直接对应通过隐藏真实所有权制造匿名层的风险；D项出售现成公司给境外中介，结合了现成公司的高风险和离岸中介的复杂交易流；E项与客户面对面接触极少，尤其在离岸安排下，同时涉及离岸公司的保密性障碍和非面对面交付渠道的高风险。三项均指向TCSP业务模式中固有的匿名性和远程性特征，使其容易受到金融犯罪侵害。</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教材描述犯罪分子利用TCSP掩盖真实所有权</w:t>
      </w:r>
      <w:r>
        <w:rPr>
          <w:sz w:val="15"/>
          <w:vertAlign w:val="superscript"/>
        </w:rPr>
        <w:t>P126</w:t>
      </w:r>
      <w:r>
        <w:t>，并未提及TCSP主动向罪犯推销。正确项B、D、E聚焦于TCSP业务本身提供的匿名性、现成结构和远程交付等固有风险，比“专门推销”更直接反映其脆弱性来源。</w:t>
      </w:r>
    </w:p>
    <w:p>
      <w:pPr>
        <w:spacing w:before="120" w:after="40"/>
      </w:pPr>
      <w:r>
        <w:rPr>
          <w:b/>
          <w:sz w:val="21"/>
          <w:shd w:fill="D6E4F0" w:val="clear"/>
        </w:rPr>
        <w:t>C项错误</w:t>
      </w:r>
    </w:p>
    <w:p>
      <w:pPr>
        <w:spacing w:line="360" w:lineRule="auto" w:after="40"/>
        <w:ind w:firstLine="420"/>
      </w:pPr>
      <w:r>
        <w:t>教材指出在一些国家（如美国）TCSP曾无需遵守反洗钱法规</w:t>
      </w:r>
      <w:r>
        <w:rPr>
          <w:sz w:val="15"/>
          <w:vertAlign w:val="superscript"/>
        </w:rPr>
        <w:t>P117</w:t>
      </w:r>
      <w:r>
        <w:t>，但这并非大多数司法辖区的普遍情形；FATF建议将TCSP全面纳入AML框架。正确项展示的业务特征（代名、现成公司、非面对面）才是TCSP易受犯罪侵害的内在原因，即使法规健全，这些风险依然存在。</w:t>
      </w:r>
    </w:p>
    <w:p>
      <w:pPr>
        <w:spacing w:before="120" w:after="40"/>
      </w:pPr>
      <w:r>
        <w:rPr>
          <w:b/>
          <w:sz w:val="21"/>
          <w:shd w:fill="D6E4F0" w:val="clear"/>
        </w:rPr>
        <w:t>易错提醒</w:t>
      </w:r>
    </w:p>
    <w:p>
      <w:pPr>
        <w:spacing w:line="360" w:lineRule="auto" w:after="40"/>
        <w:ind w:firstLine="420"/>
      </w:pPr>
      <w:r>
        <w:t>TCSP的脆弱性根源在于业务构造（代名服务、现成公司、非面对面交付）带来的匿名性和识别障碍，而非豁免反洗钱法规。即使在全面监管的司法辖区，这些特征仍使TCSP暴露于洗钱风险。</w:t>
      </w:r>
    </w:p>
    <w:p>
      <w:pPr>
        <w:spacing w:line="360" w:lineRule="auto" w:after="120"/>
      </w:pPr>
      <w:r/>
    </w:p>
    <w:p>
      <w:pPr>
        <w:spacing w:line="360" w:lineRule="auto" w:after="40"/>
      </w:pPr>
      <w:r>
        <w:t>29. Which services provided by an accounting firm could be considered higher risk from a financial crime perspective? (Choose three.) ( )</w:t>
      </w:r>
    </w:p>
    <w:p>
      <w:pPr>
        <w:spacing w:line="360" w:lineRule="auto" w:after="20"/>
        <w:ind w:firstLine="283"/>
      </w:pPr>
      <w:r>
        <w:t>A. Forming a trust on behalf of a customer with a complex setup and acting as a nominee director</w:t>
      </w:r>
    </w:p>
    <w:p>
      <w:pPr>
        <w:spacing w:line="360" w:lineRule="auto" w:after="20"/>
        <w:ind w:firstLine="283"/>
      </w:pPr>
      <w:r>
        <w:t>B. Auditing a firm that provides payroll software to large corporate customers</w:t>
      </w:r>
    </w:p>
    <w:p>
      <w:pPr>
        <w:spacing w:line="360" w:lineRule="auto" w:after="20"/>
        <w:ind w:firstLine="283"/>
      </w:pPr>
      <w:r>
        <w:t>C. Preparing financial statements for a listed or privately owned firm</w:t>
      </w:r>
    </w:p>
    <w:p>
      <w:pPr>
        <w:spacing w:line="360" w:lineRule="auto" w:after="20"/>
        <w:ind w:firstLine="283"/>
      </w:pPr>
      <w:r>
        <w:t>D. Providing tax advice to an international customer hoping to move their assets out of their home country</w:t>
      </w:r>
    </w:p>
    <w:p>
      <w:pPr>
        <w:spacing w:line="360" w:lineRule="auto" w:after="20"/>
        <w:ind w:firstLine="283"/>
      </w:pPr>
      <w:r>
        <w:t>E. Assisting an offshore corporation from a jurisdiction where beneficial ownership information is not available to purchase UK property</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区分会计师不同服务类型对应的金融犯罪风险高低</w:t>
      </w:r>
    </w:p>
    <w:p>
      <w:pPr>
        <w:spacing w:before="120" w:after="40"/>
      </w:pPr>
      <w:r>
        <w:rPr>
          <w:b/>
          <w:sz w:val="21"/>
          <w:shd w:fill="D6E4F0" w:val="clear"/>
        </w:rPr>
        <w:t>核心解析</w:t>
      </w:r>
    </w:p>
    <w:p>
      <w:pPr>
        <w:spacing w:line="360" w:lineRule="auto" w:after="40"/>
        <w:ind w:firstLine="420"/>
      </w:pPr>
      <w:r>
        <w:t>会计师提供的各类服务对应不同的洗钱风险</w:t>
      </w:r>
      <w:r>
        <w:rPr>
          <w:sz w:val="15"/>
          <w:vertAlign w:val="superscript"/>
        </w:rPr>
        <w:t>P123</w:t>
      </w:r>
      <w:r>
        <w:t>。判断一项服务是否属于高风险，关键看其是否涉及“隐藏真实所有权”或“协助资金非法跨境转移”这两大核心风险要素。选项A中，设立复杂信托并担任名义董事，直接命中教材关于名义服务可被用于隐藏UBO身份的风险指标</w:t>
      </w:r>
      <w:r>
        <w:rPr>
          <w:sz w:val="15"/>
          <w:vertAlign w:val="superscript"/>
        </w:rPr>
        <w:t>P127</w:t>
      </w:r>
      <w:r>
        <w:t>。选项D中，为国际客户提供“转移资产出境”的税务建议，直接对应教材关于会计师可能无意中协助逃税、后续交易成为洗钱渠道的风险研判</w:t>
      </w:r>
      <w:r>
        <w:rPr>
          <w:sz w:val="15"/>
          <w:vertAlign w:val="superscript"/>
        </w:rPr>
        <w:t>P123</w:t>
      </w:r>
      <w:r>
        <w:t>。选项E中，协助来自无受益所有人信息可查的司法管辖区的离岸公司购房，叠加了“离岸公司”（高保密、弱监管，P127）与“无法查证受益所有人”（P122、P129案例中BVI的同类情形）双重风险，在房地产交易场景下构成高风险。三者共同特征是被滥用于掩盖真实所有权或资金流向，而常规审计（B）和财务报表编制（C）属于会计师核心专业服务，在教材框架下不直接涉及上述高风险要素。</w:t>
      </w:r>
    </w:p>
    <w:p>
      <w:pPr>
        <w:spacing w:before="120" w:after="40"/>
      </w:pPr>
      <w:r>
        <w:rPr>
          <w:b/>
          <w:sz w:val="21"/>
          <w:shd w:fill="D6E4F0" w:val="clear"/>
        </w:rPr>
        <w:t>教材原句</w:t>
      </w:r>
    </w:p>
    <w:p>
      <w:pPr>
        <w:spacing w:line="360" w:lineRule="auto" w:after="40"/>
        <w:ind w:firstLine="420"/>
      </w:pPr>
      <w:r>
        <w:t>"Accountants provide various services, some of which are listed below. These services have corresponding money laundering risks."</w:t>
      </w:r>
    </w:p>
    <w:p>
      <w:pPr>
        <w:spacing w:before="120" w:after="40"/>
      </w:pPr>
      <w:r>
        <w:rPr>
          <w:b/>
          <w:sz w:val="21"/>
          <w:shd w:fill="D6E4F0" w:val="clear"/>
        </w:rPr>
        <w:t>B项错误</w:t>
      </w:r>
    </w:p>
    <w:p>
      <w:pPr>
        <w:spacing w:line="360" w:lineRule="auto" w:after="40"/>
        <w:ind w:firstLine="420"/>
      </w:pPr>
      <w:r>
        <w:t>选项B是为提供薪资软件的公司做审计，被审计对象本身及审计服务的性质在材料中均未出现隐藏所有权或跨境转移资产等高风险要素，属于常规审计服务，在教材框架下与高风险特征的匹配度远低于正确项。</w:t>
      </w:r>
    </w:p>
    <w:p>
      <w:pPr>
        <w:spacing w:before="120" w:after="40"/>
      </w:pPr>
      <w:r>
        <w:rPr>
          <w:b/>
          <w:sz w:val="21"/>
          <w:shd w:fill="D6E4F0" w:val="clear"/>
        </w:rPr>
        <w:t>C项错误</w:t>
      </w:r>
    </w:p>
    <w:p>
      <w:pPr>
        <w:spacing w:line="360" w:lineRule="auto" w:after="40"/>
        <w:ind w:firstLine="420"/>
      </w:pPr>
      <w:r>
        <w:t>选项C是为上市公司或私营企业编制财务报表，属于会计师常规专业功能。教材提及会计师因接触敏感财务信息而面临洗钱风险</w:t>
      </w:r>
      <w:r>
        <w:rPr>
          <w:sz w:val="15"/>
          <w:vertAlign w:val="superscript"/>
        </w:rPr>
        <w:t>P123</w:t>
      </w:r>
      <w:r>
        <w:t>，但常规报表编制本身并未像正确项那样叠加“复杂结构”“资产转移出境”“受益所有人不透明”等高风险触发因素，匹配度显著低于A、D、E。</w:t>
      </w:r>
    </w:p>
    <w:p>
      <w:pPr>
        <w:spacing w:before="120" w:after="40"/>
      </w:pPr>
      <w:r>
        <w:rPr>
          <w:b/>
          <w:sz w:val="21"/>
          <w:shd w:fill="D6E4F0" w:val="clear"/>
        </w:rPr>
        <w:t>易错提醒</w:t>
      </w:r>
    </w:p>
    <w:p>
      <w:pPr>
        <w:spacing w:line="360" w:lineRule="auto" w:after="40"/>
        <w:ind w:firstLine="420"/>
      </w:pPr>
      <w:r>
        <w:t>会计师不同服务的风险高低，不取决于“是不是财务工作”，而取决于“是否容易被用于隐藏所有权或转移资金”。常规审计、报表编制等核心专业功能风险天然较低；涉及为他人设立名义结构、提供离岸税务建议、协助无透明受益所有人信息的实体进行交易时，风险显著上升。</w:t>
      </w:r>
    </w:p>
    <w:p>
      <w:pPr>
        <w:spacing w:line="360" w:lineRule="auto" w:after="120"/>
      </w:pPr>
      <w:r/>
    </w:p>
    <w:p>
      <w:pPr>
        <w:spacing w:line="360" w:lineRule="auto" w:after="40"/>
      </w:pPr>
      <w:r>
        <w:t>30. Which risks inherent to the real estate sector carry the highest AML/CFT risk? (Select two.) ( )</w:t>
      </w:r>
    </w:p>
    <w:p>
      <w:pPr>
        <w:spacing w:line="360" w:lineRule="auto" w:after="20"/>
        <w:ind w:firstLine="283"/>
      </w:pPr>
      <w:r>
        <w:t>A. Use of cash to purchase property</w:t>
      </w:r>
    </w:p>
    <w:p>
      <w:pPr>
        <w:spacing w:line="360" w:lineRule="auto" w:after="20"/>
        <w:ind w:firstLine="283"/>
      </w:pPr>
      <w:r>
        <w:t>B. Unlicensed real estate agents acting as front companies</w:t>
      </w:r>
    </w:p>
    <w:p>
      <w:pPr>
        <w:spacing w:line="360" w:lineRule="auto" w:after="20"/>
        <w:ind w:firstLine="283"/>
      </w:pPr>
      <w:r>
        <w:t>C. Use of a registered trust for the purchase of property</w:t>
      </w:r>
    </w:p>
    <w:p>
      <w:pPr>
        <w:spacing w:line="360" w:lineRule="auto" w:after="20"/>
        <w:ind w:firstLine="283"/>
      </w:pPr>
      <w:r>
        <w:t>D. Use of a company for the purchase of property</w:t>
      </w:r>
    </w:p>
    <w:p>
      <w:pPr>
        <w:spacing w:line="360" w:lineRule="auto" w:after="20"/>
        <w:ind w:firstLine="283"/>
      </w:pPr>
      <w:r>
        <w:t>E. Manipulation of the value of a property</w:t>
      </w:r>
    </w:p>
    <w:p>
      <w:pPr>
        <w:spacing w:line="360" w:lineRule="auto" w:after="40"/>
      </w:pPr>
      <w:r>
        <w:t>答案：A、E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识别房地产行业洗钱中资金直接操纵与价值扭曲的固有风险</w:t>
      </w:r>
    </w:p>
    <w:p>
      <w:pPr>
        <w:spacing w:before="120" w:after="40"/>
      </w:pPr>
      <w:r>
        <w:rPr>
          <w:b/>
          <w:sz w:val="21"/>
          <w:shd w:fill="D6E4F0" w:val="clear"/>
        </w:rPr>
        <w:t>核心解析</w:t>
      </w:r>
    </w:p>
    <w:p>
      <w:pPr>
        <w:spacing w:line="360" w:lineRule="auto" w:after="40"/>
        <w:ind w:firstLine="420"/>
      </w:pPr>
      <w:r>
        <w:t>房地产行业的最高洗钱风险集中在资金与价值的直接操纵。现金交易难以追踪，增加了洗钱可能性</w:t>
      </w:r>
      <w:r>
        <w:rPr>
          <w:sz w:val="15"/>
          <w:vertAlign w:val="superscript"/>
        </w:rPr>
        <w:t>P122</w:t>
      </w:r>
      <w:r>
        <w:t>，而全部或主要用现金支付更是明确的红旗信号</w:t>
      </w:r>
      <w:r>
        <w:rPr>
          <w:sz w:val="15"/>
          <w:vertAlign w:val="superscript"/>
        </w:rPr>
        <w:t>P122</w:t>
      </w:r>
      <w:r>
        <w:t>。此外，犯罪分子通过抬高或压低资产价值来操纵金融交易、掩盖资金真实性质</w:t>
      </w:r>
      <w:r>
        <w:rPr>
          <w:sz w:val="15"/>
          <w:vertAlign w:val="superscript"/>
        </w:rPr>
        <w:t>P129</w:t>
      </w:r>
      <w:r>
        <w:t>，这一手段直接扭曲交易本质。题干问的是“固有”且“最高”的风险，现金切断审计线索、操纵价值歪曲交易基础，两者均无需依赖额外条件（如是否无照、是否解释不足），本身就是洗钱的核心工具。</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p>
    <w:p>
      <w:pPr>
        <w:spacing w:before="120" w:after="40"/>
      </w:pPr>
      <w:r>
        <w:rPr>
          <w:b/>
          <w:sz w:val="21"/>
          <w:shd w:fill="D6E4F0" w:val="clear"/>
        </w:rPr>
        <w:t>B项错误</w:t>
      </w:r>
    </w:p>
    <w:p>
      <w:pPr>
        <w:spacing w:line="360" w:lineRule="auto" w:after="40"/>
        <w:ind w:firstLine="420"/>
      </w:pPr>
      <w:r>
        <w:t>“无照房产中介”与“幌子公司”是两个独立概念。教材将幌子公司定义为从事部分合法业务以掩护另一公司</w:t>
      </w:r>
      <w:r>
        <w:rPr>
          <w:sz w:val="15"/>
          <w:vertAlign w:val="superscript"/>
        </w:rPr>
        <w:t>P54</w:t>
      </w:r>
      <w:r>
        <w:t>，而本题缺失了“从事合法业务”这一构成要件，仅凭无照经营不足以将其定性为幌子公司。相比之下，选项A、E直接描述了可操作的洗钱手段，匹配度更高。</w:t>
      </w:r>
    </w:p>
    <w:p>
      <w:pPr>
        <w:spacing w:before="120" w:after="40"/>
      </w:pPr>
      <w:r>
        <w:rPr>
          <w:b/>
          <w:sz w:val="21"/>
          <w:shd w:fill="D6E4F0" w:val="clear"/>
        </w:rPr>
        <w:t>C项错误</w:t>
      </w:r>
    </w:p>
    <w:p>
      <w:pPr>
        <w:spacing w:line="360" w:lineRule="auto" w:after="40"/>
        <w:ind w:firstLine="420"/>
      </w:pPr>
      <w:r>
        <w:t>教材指出，通过信托购买房产仅在“无合理解释”时才构成红旗信号</w:t>
      </w:r>
      <w:r>
        <w:rPr>
          <w:sz w:val="15"/>
          <w:vertAlign w:val="superscript"/>
        </w:rPr>
        <w:t>P121</w:t>
      </w:r>
      <w:r>
        <w:t>。“注册信托”本身是合法安排，题干未附任何异常条件（如无正当理由、结构复杂不合理等），因此它不如选项A和E那样直接构成固有风险——后者无需额外条件即可成立。</w:t>
      </w:r>
    </w:p>
    <w:p>
      <w:pPr>
        <w:spacing w:before="120" w:after="40"/>
      </w:pPr>
      <w:r>
        <w:rPr>
          <w:b/>
          <w:sz w:val="21"/>
          <w:shd w:fill="D6E4F0" w:val="clear"/>
        </w:rPr>
        <w:t>D项错误</w:t>
      </w:r>
    </w:p>
    <w:p>
      <w:pPr>
        <w:spacing w:line="360" w:lineRule="auto" w:after="40"/>
        <w:ind w:firstLine="420"/>
      </w:pPr>
      <w:r>
        <w:t>与选项C逻辑一致，使用公司购买房产仅在伴随“无合理解释”或结构复杂、掩盖受益所有人时才构成洗钱风险。题干描述的是单纯的“利用公司购买”，教材中对应的风险指标（如壳公司）需额外要素支撑</w:t>
      </w:r>
      <w:r>
        <w:rPr>
          <w:sz w:val="15"/>
          <w:vertAlign w:val="superscript"/>
        </w:rPr>
        <w:t>P74、P121</w:t>
      </w:r>
      <w:r>
        <w:t>，匹配度不如直接操纵资金和价值的方式。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