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CH04 (EN)</w:t>
      </w:r>
    </w:p>
    <w:p>
      <w:pPr>
        <w:spacing w:line="360" w:lineRule="auto" w:after="160"/>
      </w:pPr>
      <w:r>
        <w:t>一、单项选择题</w:t>
      </w:r>
    </w:p>
    <w:p>
      <w:pPr>
        <w:spacing w:line="360" w:lineRule="auto" w:after="40"/>
      </w:pPr>
      <w:r>
        <w:t>1. Which operational situation might indicate that money laundering is occurring at or through a deposit-taking financial institution? ( )</w:t>
      </w:r>
    </w:p>
    <w:p>
      <w:pPr>
        <w:spacing w:line="360" w:lineRule="auto" w:after="20"/>
        <w:ind w:firstLine="283"/>
      </w:pPr>
      <w:r>
        <w:t>A. The institution has observed an increase in customer demand for large-denomination banknotes</w:t>
      </w:r>
    </w:p>
    <w:p>
      <w:pPr>
        <w:spacing w:line="360" w:lineRule="auto" w:after="20"/>
        <w:ind w:firstLine="283"/>
      </w:pPr>
      <w:r>
        <w:t>B. The institution maintains a sequentially numbered log of the monetary instruments it sells</w:t>
      </w:r>
    </w:p>
    <w:p>
      <w:pPr>
        <w:spacing w:line="360" w:lineRule="auto" w:after="20"/>
        <w:ind w:firstLine="283"/>
      </w:pPr>
      <w:r>
        <w:t>C. The institution has observed a reduced settlement time in the transaction services that support the rapid movement or remittance of funds</w:t>
      </w:r>
    </w:p>
    <w:p>
      <w:pPr>
        <w:spacing w:line="360" w:lineRule="auto" w:after="20"/>
        <w:ind w:firstLine="283"/>
      </w:pPr>
      <w:r>
        <w:t>D. The institution has observed an increase in the adoption of its digital products and services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将大量现金需求识别为与存款机构相关的洗钱风险信号</w:t>
      </w:r>
    </w:p>
    <w:p>
      <w:pPr>
        <w:spacing w:before="120" w:after="40"/>
      </w:pPr>
      <w:r>
        <w:rPr>
          <w:b/>
          <w:sz w:val="21"/>
          <w:shd w:fill="D6E4F0" w:val="clear"/>
        </w:rPr>
        <w:t>核心解析</w:t>
      </w:r>
    </w:p>
    <w:p>
      <w:pPr>
        <w:spacing w:line="360" w:lineRule="auto" w:after="40"/>
        <w:ind w:firstLine="420"/>
      </w:pPr>
      <w:r>
        <w:t>大额现金交易可被视为潜在非法活动的指向标</w:t>
      </w:r>
      <w:r>
        <w:rPr>
          <w:sz w:val="15"/>
          <w:vertAlign w:val="superscript"/>
        </w:rPr>
        <w:t>P137</w:t>
      </w:r>
      <w:r>
        <w:t>。同样，大额快速取款结合高风险资金来源暗示可能洗钱</w:t>
      </w:r>
      <w:r>
        <w:rPr>
          <w:sz w:val="15"/>
          <w:vertAlign w:val="superscript"/>
        </w:rPr>
        <w:t>P354</w:t>
      </w:r>
      <w:r>
        <w:t>。接受存款的金融机构客户对大面额钞票需求增加，本质上反映大额现金需求异常上升，与教材中列出的风险指标直接吻合，因此可作为洗钱活动正在发生的潜在迹象。</w:t>
      </w:r>
    </w:p>
    <w:p>
      <w:pPr>
        <w:spacing w:before="120" w:after="40"/>
      </w:pPr>
      <w:r>
        <w:rPr>
          <w:b/>
          <w:sz w:val="21"/>
          <w:shd w:fill="D6E4F0" w:val="clear"/>
        </w:rPr>
        <w:t>教材原句</w:t>
      </w:r>
    </w:p>
    <w:p>
      <w:pPr>
        <w:spacing w:line="360" w:lineRule="auto" w:after="40"/>
        <w:ind w:firstLine="420"/>
      </w:pPr>
      <w:r>
        <w:t>"Substantial cash transactions, which might indicate potential illicit activities."</w:t>
      </w:r>
    </w:p>
    <w:p>
      <w:pPr>
        <w:spacing w:before="120" w:after="40"/>
      </w:pPr>
      <w:r>
        <w:rPr>
          <w:b/>
          <w:sz w:val="21"/>
          <w:shd w:fill="D6E4F0" w:val="clear"/>
        </w:rPr>
        <w:t>B项错误</w:t>
      </w:r>
    </w:p>
    <w:p>
      <w:pPr>
        <w:spacing w:line="360" w:lineRule="auto" w:after="40"/>
        <w:ind w:firstLine="420"/>
      </w:pPr>
      <w:r>
        <w:t>连续编号并记录货币工具出售属于《银行保密法》下的合规记录要求，目的是便于追踪和报告，本身是一种内部控制措施，而非展示异常的运营情况。题干寻找的是可能表明洗钱活动的迹象，相比A，B更接近合规实践而非风险信号。</w:t>
      </w:r>
    </w:p>
    <w:p>
      <w:pPr>
        <w:spacing w:before="120" w:after="40"/>
      </w:pPr>
      <w:r>
        <w:rPr>
          <w:b/>
          <w:sz w:val="21"/>
          <w:shd w:fill="D6E4F0" w:val="clear"/>
        </w:rPr>
        <w:t>C项错误</w:t>
      </w:r>
    </w:p>
    <w:p>
      <w:pPr>
        <w:spacing w:line="360" w:lineRule="auto" w:after="40"/>
        <w:ind w:firstLine="420"/>
      </w:pPr>
      <w:r>
        <w:t>结算时间缩短在教材中作为区块链技术的优势提及</w:t>
      </w:r>
      <w:r>
        <w:rPr>
          <w:sz w:val="15"/>
          <w:vertAlign w:val="superscript"/>
        </w:rPr>
        <w:t>P110</w:t>
      </w:r>
      <w:r>
        <w:t>，是技术能力提升的客观结果，不必然指向洗钱。题干要求找出能够指示洗钱活动的情况，C所描述的变化更可能源于系统升级，与可疑活动的直接关联度不如A。</w:t>
      </w:r>
    </w:p>
    <w:p>
      <w:pPr>
        <w:spacing w:before="120" w:after="40"/>
      </w:pPr>
      <w:r>
        <w:rPr>
          <w:b/>
          <w:sz w:val="21"/>
          <w:shd w:fill="D6E4F0" w:val="clear"/>
        </w:rPr>
        <w:t>D项错误</w:t>
      </w:r>
    </w:p>
    <w:p>
      <w:pPr>
        <w:spacing w:line="360" w:lineRule="auto" w:after="40"/>
        <w:ind w:firstLine="420"/>
      </w:pPr>
      <w:r>
        <w:t>数字产品和服务采用率上升是客户行为数字化迁移的正常趋势，教材指出数字身份技术能提升效率和风险管理</w:t>
      </w:r>
      <w:r>
        <w:rPr>
          <w:sz w:val="15"/>
          <w:vertAlign w:val="superscript"/>
        </w:rPr>
        <w:t>P408</w:t>
      </w:r>
      <w:r>
        <w:t>，并未将其列为洗钱风险指标。题干要求的是洗钱活动可能发生的信号，D缺少异常性和与非法资金流动的关联，不如A贴合教材的风险判断框架。</w:t>
      </w:r>
    </w:p>
    <w:p>
      <w:pPr>
        <w:spacing w:line="360" w:lineRule="auto" w:after="120"/>
      </w:pPr>
      <w:r/>
    </w:p>
    <w:p>
      <w:pPr>
        <w:spacing w:line="360" w:lineRule="auto" w:after="40"/>
      </w:pPr>
      <w:r>
        <w:t>2. An AML compliance officer is evaluating a new customer's profile. Which of the following is most likely to indicate that the customer presents a money laundering risk? ( )</w:t>
      </w:r>
    </w:p>
    <w:p>
      <w:pPr>
        <w:spacing w:line="360" w:lineRule="auto" w:after="20"/>
        <w:ind w:firstLine="283"/>
      </w:pPr>
      <w:r>
        <w:t>A. The information provided by the customer is inconsistent with public records or business activity</w:t>
      </w:r>
    </w:p>
    <w:p>
      <w:pPr>
        <w:spacing w:line="360" w:lineRule="auto" w:after="20"/>
        <w:ind w:firstLine="283"/>
      </w:pPr>
      <w:r>
        <w:t>B. The customer requests a reduction in service fees</w:t>
      </w:r>
    </w:p>
    <w:p>
      <w:pPr>
        <w:spacing w:line="360" w:lineRule="auto" w:after="20"/>
        <w:ind w:firstLine="283"/>
      </w:pPr>
      <w:r>
        <w:t>C. The customer asks how long the account opening process will take</w:t>
      </w:r>
    </w:p>
    <w:p>
      <w:pPr>
        <w:spacing w:line="360" w:lineRule="auto" w:after="20"/>
        <w:ind w:firstLine="283"/>
      </w:pPr>
      <w:r>
        <w:t>D. The customer provides complete identification documents</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识别客户信息与公开资料不一致作为洗钱风险指标</w:t>
      </w:r>
    </w:p>
    <w:p>
      <w:pPr>
        <w:spacing w:before="120" w:after="40"/>
      </w:pPr>
      <w:r>
        <w:rPr>
          <w:b/>
          <w:sz w:val="21"/>
          <w:shd w:fill="D6E4F0" w:val="clear"/>
        </w:rPr>
        <w:t>核心解析</w:t>
      </w:r>
    </w:p>
    <w:p>
      <w:pPr>
        <w:spacing w:line="360" w:lineRule="auto" w:after="40"/>
        <w:ind w:firstLine="420"/>
      </w:pPr>
      <w:r>
        <w:t>教材在Goodwish Jade案例中展示：反洗钱官员发现该珠宝商有多笔午夜大额现金交易，而网站显示其营业时间为早10点至晚6点且无网店，交易时间与正常业务严重不符，由此引发洗钱嫌疑</w:t>
      </w:r>
      <w:r>
        <w:rPr>
          <w:sz w:val="15"/>
          <w:vertAlign w:val="superscript"/>
        </w:rPr>
        <w:t>P129</w:t>
      </w:r>
      <w:r>
        <w:t>。这一案例表明，客户提供的信息或实际交易模式与公开资料、正常业务活动不一致，是洗钱风险的重要指示信号。本题中，选项A直接描述了这种“不一致”，与教材案例揭示的风险逻辑高度吻合，因此在四个选项中，它最可能表明客户存在洗钱风险。</w:t>
      </w:r>
    </w:p>
    <w:p>
      <w:pPr>
        <w:spacing w:before="120" w:after="40"/>
      </w:pPr>
      <w:r>
        <w:rPr>
          <w:b/>
          <w:sz w:val="21"/>
          <w:shd w:fill="D6E4F0" w:val="clear"/>
        </w:rPr>
        <w:t>B项错误</w:t>
      </w:r>
    </w:p>
    <w:p>
      <w:pPr>
        <w:spacing w:line="360" w:lineRule="auto" w:after="40"/>
        <w:ind w:firstLine="420"/>
      </w:pPr>
      <w:r>
        <w:t>教材未有将“要求降低服务费用”列为洗钱风险指标，该要求与洗钱行为之间缺乏直接关联。在评估新客户风险时，信息不一致比单纯的费用协商更直接指向洗钱可能，因而选项B的匹配度低于A。</w:t>
      </w:r>
    </w:p>
    <w:p>
      <w:pPr>
        <w:spacing w:before="120" w:after="40"/>
      </w:pPr>
      <w:r>
        <w:rPr>
          <w:b/>
          <w:sz w:val="21"/>
          <w:shd w:fill="D6E4F0" w:val="clear"/>
        </w:rPr>
        <w:t>C项错误</w:t>
      </w:r>
    </w:p>
    <w:p>
      <w:pPr>
        <w:spacing w:line="360" w:lineRule="auto" w:after="40"/>
        <w:ind w:firstLine="420"/>
      </w:pPr>
      <w:r>
        <w:t>教材指出电子KYC可在数小时甚至数分钟内完成开户</w:t>
      </w:r>
      <w:r>
        <w:rPr>
          <w:sz w:val="15"/>
          <w:vertAlign w:val="superscript"/>
        </w:rPr>
        <w:t>P405</w:t>
      </w:r>
      <w:r>
        <w:t>，客户询问流程时间通常只是关心效率，并未显示任何规避审查或隐瞒意图。相比之下，题干更支持信息不一致作为风险信号，询问操作时间本身的警示力度不如A。</w:t>
      </w:r>
    </w:p>
    <w:p>
      <w:pPr>
        <w:spacing w:before="120" w:after="40"/>
      </w:pPr>
      <w:r>
        <w:rPr>
          <w:b/>
          <w:sz w:val="21"/>
          <w:shd w:fill="D6E4F0" w:val="clear"/>
        </w:rPr>
        <w:t>D项错误</w:t>
      </w:r>
    </w:p>
    <w:p>
      <w:pPr>
        <w:spacing w:line="360" w:lineRule="auto" w:after="40"/>
        <w:ind w:firstLine="420"/>
      </w:pPr>
      <w:r>
        <w:t>提供完整身份证明文件是客户配合KYC义务的体现，有利于降低信息不透明带来的风险，而非指示洗钱风险。在教材框架下，合规行为与洗钱风险信号的指向相反，因此D的风险指示性远弱于A。</w:t>
      </w:r>
    </w:p>
    <w:p>
      <w:pPr>
        <w:spacing w:line="360" w:lineRule="auto" w:after="120"/>
      </w:pPr>
      <w:r/>
    </w:p>
    <w:p>
      <w:pPr>
        <w:spacing w:line="360" w:lineRule="auto" w:after="40"/>
      </w:pPr>
      <w:r>
        <w:t>3. Which of the following is a red flag indicating potential money laundering or terrorism financing through dealers of precious metals or high-value items? ( )</w:t>
      </w:r>
    </w:p>
    <w:p>
      <w:pPr>
        <w:spacing w:line="360" w:lineRule="auto" w:after="20"/>
        <w:ind w:firstLine="283"/>
      </w:pPr>
      <w:r>
        <w:t>A. A customer wants to purchase gold bars with a combination of cash and cryptocurrency</w:t>
      </w:r>
    </w:p>
    <w:p>
      <w:pPr>
        <w:spacing w:line="360" w:lineRule="auto" w:after="20"/>
        <w:ind w:firstLine="283"/>
      </w:pPr>
      <w:r>
        <w:t>B. A customer specifically requests to purchase a Kimberley Process-certified cut diamond</w:t>
      </w:r>
    </w:p>
    <w:p>
      <w:pPr>
        <w:spacing w:line="360" w:lineRule="auto" w:after="20"/>
        <w:ind w:firstLine="283"/>
      </w:pPr>
      <w:r>
        <w:t>C. A customer pays an antique dealer with a credit card for a high-value antique item</w:t>
      </w:r>
    </w:p>
    <w:p>
      <w:pPr>
        <w:spacing w:line="360" w:lineRule="auto" w:after="20"/>
        <w:ind w:firstLine="283"/>
      </w:pPr>
      <w:r>
        <w:t>D. A customer wants a handwritten receipt for a cash purchase of a high-end, limited-edition luxury watch</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混合现金与加密货币支付构成贵金属交易可疑资金来源红旗</w:t>
      </w:r>
    </w:p>
    <w:p>
      <w:pPr>
        <w:spacing w:before="120" w:after="40"/>
      </w:pPr>
      <w:r>
        <w:rPr>
          <w:b/>
          <w:sz w:val="21"/>
          <w:shd w:fill="D6E4F0" w:val="clear"/>
        </w:rPr>
        <w:t>核心解析</w:t>
      </w:r>
    </w:p>
    <w:p>
      <w:pPr>
        <w:spacing w:line="360" w:lineRule="auto" w:after="40"/>
        <w:ind w:firstLine="420"/>
      </w:pPr>
      <w:r>
        <w:t>贵金属和宝石经销商因商品便携且易变现而面临较高洗钱风险，犯罪分子可通过高价值购买再转售隐藏非法资金</w:t>
      </w:r>
      <w:r>
        <w:rPr>
          <w:sz w:val="15"/>
          <w:vertAlign w:val="superscript"/>
        </w:rPr>
        <w:t>P119</w:t>
      </w:r>
      <w:r>
        <w:t>。涉及来源不明或可疑资金的交易被列为高价值资产洗钱的红旗信号</w:t>
      </w:r>
      <w:r>
        <w:rPr>
          <w:sz w:val="15"/>
          <w:vertAlign w:val="superscript"/>
        </w:rPr>
        <w:t>P128</w:t>
      </w:r>
      <w:r>
        <w:t>，大额现金购买缺乏明确资金来源或证明文件也是红旗</w:t>
      </w:r>
      <w:r>
        <w:rPr>
          <w:sz w:val="15"/>
          <w:vertAlign w:val="superscript"/>
        </w:rPr>
        <w:t>P128</w:t>
      </w:r>
      <w:r>
        <w:t>。现金具有匿名性，加密货币（尤其是隐私币）进一步增加追踪难度</w:t>
      </w:r>
      <w:r>
        <w:rPr>
          <w:sz w:val="15"/>
          <w:vertAlign w:val="superscript"/>
        </w:rPr>
        <w:t>P111</w:t>
      </w:r>
      <w:r>
        <w:t>。客户用“现金+加密货币”组合购买金条，两种支付方式都极难验证资金来源的合法性和清晰性，直接触发“涉及来源不明或可疑资金”的红旗信号，因此A正确。</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要求购买金伯利进程认证钻石是寻求合法来源证明的正当行为，旨在避免冲突钻石风险，与洗钱者隐藏来源的方向相反，教材未将其列为红旗信号。</w:t>
      </w:r>
    </w:p>
    <w:p>
      <w:pPr>
        <w:spacing w:before="120" w:after="40"/>
      </w:pPr>
      <w:r>
        <w:rPr>
          <w:b/>
          <w:sz w:val="21"/>
          <w:shd w:fill="D6E4F0" w:val="clear"/>
        </w:rPr>
        <w:t>C项错误</w:t>
      </w:r>
    </w:p>
    <w:p>
      <w:pPr>
        <w:spacing w:line="360" w:lineRule="auto" w:after="40"/>
        <w:ind w:firstLine="420"/>
      </w:pPr>
      <w:r>
        <w:t>信用卡支付具备明确的交易记录和发卡行审核，资金流向可追踪，与现金及加密货币的匿名性不同；教材红旗信号强调资金来源不明或可疑</w:t>
      </w:r>
      <w:r>
        <w:rPr>
          <w:sz w:val="15"/>
          <w:vertAlign w:val="superscript"/>
        </w:rPr>
        <w:t>P128</w:t>
      </w:r>
      <w:r>
        <w:t>，信用卡支付通常不被视为这类红旗，其洗钱风险信号比A的组合支付更弱。</w:t>
      </w:r>
    </w:p>
    <w:p>
      <w:pPr>
        <w:spacing w:before="120" w:after="40"/>
      </w:pPr>
      <w:r>
        <w:rPr>
          <w:b/>
          <w:sz w:val="21"/>
          <w:shd w:fill="D6E4F0" w:val="clear"/>
        </w:rPr>
        <w:t>D项错误</w:t>
      </w:r>
    </w:p>
    <w:p>
      <w:pPr>
        <w:spacing w:line="360" w:lineRule="auto" w:after="40"/>
        <w:ind w:firstLine="420"/>
      </w:pPr>
      <w:r>
        <w:t>客户主动索要收据是希望获得购买凭证，属正常消费者行为；洗钱者通常避免留下交易记录以模糊资金流向。该行为与隐藏资金来源的危险信号相悖，不如A直接匹配可疑资金来源的红旗。</w:t>
      </w:r>
    </w:p>
    <w:p>
      <w:pPr>
        <w:spacing w:before="120" w:after="40"/>
      </w:pPr>
      <w:r>
        <w:rPr>
          <w:b/>
          <w:sz w:val="21"/>
          <w:shd w:fill="D6E4F0" w:val="clear"/>
        </w:rPr>
        <w:t>易错提醒</w:t>
      </w:r>
    </w:p>
    <w:p>
      <w:pPr>
        <w:spacing w:line="360" w:lineRule="auto" w:after="40"/>
        <w:ind w:firstLine="420"/>
      </w:pPr>
      <w:r>
        <w:t>洗钱者倾向于隐藏交易记录以模糊资金流向，而正常客户索要收据是获取交易证明的合理要求；红旗信号聚焦于资金来源不明（如现金与加密货币组合支付），而非交易是否有收据。</w:t>
      </w:r>
    </w:p>
    <w:p>
      <w:pPr>
        <w:spacing w:line="360" w:lineRule="auto" w:after="120"/>
      </w:pPr>
      <w:r/>
    </w:p>
    <w:p>
      <w:pPr>
        <w:spacing w:line="360" w:lineRule="auto" w:after="40"/>
      </w:pPr>
      <w:r>
        <w:t>4. Which of the following is a common strategy employed by non-governmental organizations (NGOs) to combat money laundering? ( )</w:t>
      </w:r>
    </w:p>
    <w:p>
      <w:pPr>
        <w:spacing w:line="360" w:lineRule="auto" w:after="20"/>
        <w:ind w:firstLine="283"/>
      </w:pPr>
      <w:r>
        <w:t>A. Helping Financial Intelligence Units (FIUs) to analyze suspicious activity reports (SARs)</w:t>
      </w:r>
    </w:p>
    <w:p>
      <w:pPr>
        <w:spacing w:line="360" w:lineRule="auto" w:after="20"/>
        <w:ind w:firstLine="283"/>
      </w:pPr>
      <w:r>
        <w:t>B. Directly prosecuting money launderers in court</w:t>
      </w:r>
    </w:p>
    <w:p>
      <w:pPr>
        <w:spacing w:line="360" w:lineRule="auto" w:after="20"/>
        <w:ind w:firstLine="283"/>
      </w:pPr>
      <w:r>
        <w:t>C. Providing financial assistance to governments to strengthen their anti-money laundering efforts</w:t>
      </w:r>
    </w:p>
    <w:p>
      <w:pPr>
        <w:spacing w:line="360" w:lineRule="auto" w:after="20"/>
        <w:ind w:firstLine="283"/>
      </w:pPr>
      <w:r>
        <w:t>D. Raising awareness about the issue of money laundering and its consequences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区分NGO与政府机构在AML中的职能边界</w:t>
      </w:r>
    </w:p>
    <w:p>
      <w:pPr>
        <w:spacing w:before="120" w:after="40"/>
      </w:pPr>
      <w:r>
        <w:rPr>
          <w:b/>
          <w:sz w:val="21"/>
          <w:shd w:fill="D6E4F0" w:val="clear"/>
        </w:rPr>
        <w:t>核心解析</w:t>
      </w:r>
    </w:p>
    <w:p>
      <w:pPr>
        <w:spacing w:line="360" w:lineRule="auto" w:after="40"/>
        <w:ind w:firstLine="420"/>
      </w:pPr>
      <w:r>
        <w:t>NGO指与特定司法管辖区政府无直接关联的非营利组织</w:t>
      </w:r>
      <w:r>
        <w:rPr>
          <w:sz w:val="15"/>
          <w:vertAlign w:val="superscript"/>
        </w:rPr>
        <w:t>P134</w:t>
      </w:r>
      <w:r>
        <w:t>。这一性质决定了NGO不具备直接执法、起诉或向政府提供财政援助的权能。其打击洗钱的策略多为间接的、倡导性的，如开展研究、倡导政策、教育公众。选项D“提高对洗钱问题及其后果的认识”，正是此类典型策略，比具备政府职能性质的A、B、C更吻合教材对NGO的定位。</w:t>
      </w:r>
    </w:p>
    <w:p>
      <w:pPr>
        <w:spacing w:before="120" w:after="40"/>
      </w:pPr>
      <w:r>
        <w:rPr>
          <w:b/>
          <w:sz w:val="21"/>
          <w:shd w:fill="D6E4F0" w:val="clear"/>
        </w:rPr>
        <w:t>教材原句</w:t>
      </w:r>
    </w:p>
    <w:p>
      <w:pPr>
        <w:spacing w:line="360" w:lineRule="auto" w:after="40"/>
        <w:ind w:firstLine="420"/>
      </w:pPr>
      <w:r>
        <w:t>"An NGO is a nonprofit organization that is not directly linked to the governments of specific jurisdictions."</w:t>
      </w:r>
    </w:p>
    <w:p>
      <w:pPr>
        <w:spacing w:before="120" w:after="40"/>
      </w:pPr>
      <w:r>
        <w:rPr>
          <w:b/>
          <w:sz w:val="21"/>
          <w:shd w:fill="D6E4F0" w:val="clear"/>
        </w:rPr>
        <w:t>A项错误</w:t>
      </w:r>
    </w:p>
    <w:p>
      <w:pPr>
        <w:spacing w:line="360" w:lineRule="auto" w:after="40"/>
        <w:ind w:firstLine="420"/>
      </w:pPr>
      <w:r>
        <w:t>教材规定，金融情报机构（FIU）负责分析可疑交易报告以支持执法</w:t>
      </w:r>
      <w:r>
        <w:rPr>
          <w:sz w:val="15"/>
          <w:vertAlign w:val="superscript"/>
        </w:rPr>
        <w:t>P149</w:t>
      </w:r>
      <w:r>
        <w:t>。这是政府职能，NGO作为非政府实体，不承担此类法定职责。相比之下，NGO的角色更贴合倡导与提高认识。</w:t>
      </w:r>
    </w:p>
    <w:p>
      <w:pPr>
        <w:spacing w:before="120" w:after="40"/>
      </w:pPr>
      <w:r>
        <w:rPr>
          <w:b/>
          <w:sz w:val="21"/>
          <w:shd w:fill="D6E4F0" w:val="clear"/>
        </w:rPr>
        <w:t>B项错误</w:t>
      </w:r>
    </w:p>
    <w:p>
      <w:pPr>
        <w:spacing w:line="360" w:lineRule="auto" w:after="40"/>
        <w:ind w:firstLine="420"/>
      </w:pPr>
      <w:r>
        <w:t>教材将调查、起诉洗钱者归为执法部门及检察机关的职能</w:t>
      </w:r>
      <w:r>
        <w:rPr>
          <w:sz w:val="15"/>
          <w:vertAlign w:val="superscript"/>
        </w:rPr>
        <w:t>P228</w:t>
      </w:r>
      <w:r>
        <w:t>。NGO不具备司法权力，其反洗钱贡献以倡导、教育为主，不如D项直接匹配NGO的非政府属性。</w:t>
      </w:r>
    </w:p>
    <w:p>
      <w:pPr>
        <w:spacing w:before="120" w:after="40"/>
      </w:pPr>
      <w:r>
        <w:rPr>
          <w:b/>
          <w:sz w:val="21"/>
          <w:shd w:fill="D6E4F0" w:val="clear"/>
        </w:rPr>
        <w:t>C项错误</w:t>
      </w:r>
    </w:p>
    <w:p>
      <w:pPr>
        <w:spacing w:line="360" w:lineRule="auto" w:after="40"/>
        <w:ind w:firstLine="420"/>
      </w:pPr>
      <w:r>
        <w:t>教材指出慈善机构与NGO通常享有免税地位，鼓励公众向其捐款</w:t>
      </w:r>
      <w:r>
        <w:rPr>
          <w:sz w:val="15"/>
          <w:vertAlign w:val="superscript"/>
        </w:rPr>
        <w:t>P134</w:t>
      </w:r>
      <w:r>
        <w:t>，但未提及NGO向政府提供财政援助。题干未提供任何支持这一职能的依据，而D项所述“提高认识”更符合NGO的倡导性质。</w:t>
      </w:r>
    </w:p>
    <w:p>
      <w:pPr>
        <w:spacing w:before="120" w:after="40"/>
      </w:pPr>
      <w:r>
        <w:rPr>
          <w:b/>
          <w:sz w:val="21"/>
          <w:shd w:fill="D6E4F0" w:val="clear"/>
        </w:rPr>
        <w:t>易错提醒</w:t>
      </w:r>
    </w:p>
    <w:p>
      <w:pPr>
        <w:spacing w:line="360" w:lineRule="auto" w:after="40"/>
        <w:ind w:firstLine="420"/>
      </w:pPr>
      <w:r>
        <w:t>区分NGO与政府、执法机构：NGO是与政府无直接关联的非营利组织</w:t>
      </w:r>
      <w:r>
        <w:rPr>
          <w:sz w:val="15"/>
          <w:vertAlign w:val="superscript"/>
        </w:rPr>
        <w:t>P134</w:t>
      </w:r>
      <w:r>
        <w:t>，其反洗钱手段以倡导、教育为主；而分析SAR、起诉、财政援助均属政府或执法职能。遇到类似题，先判断组织性质，再匹配其职能。</w:t>
      </w:r>
    </w:p>
    <w:p>
      <w:pPr>
        <w:spacing w:line="360" w:lineRule="auto" w:after="120"/>
      </w:pPr>
      <w:r/>
    </w:p>
    <w:p>
      <w:pPr>
        <w:spacing w:line="360" w:lineRule="auto" w:after="40"/>
      </w:pPr>
      <w:r>
        <w:t>5. It is essential to identify any 'family members' or 'close associates' of politically exposed persons (PEPs) as part of the KYC/CDD process because they could be: ( )</w:t>
      </w:r>
    </w:p>
    <w:p>
      <w:pPr>
        <w:spacing w:line="360" w:lineRule="auto" w:after="20"/>
        <w:ind w:firstLine="283"/>
      </w:pPr>
      <w:r>
        <w:t>A. executing cross-border transactions for their own business that are not commensurate with the PEP's wealth.</w:t>
      </w:r>
    </w:p>
    <w:p>
      <w:pPr>
        <w:spacing w:line="360" w:lineRule="auto" w:after="20"/>
        <w:ind w:firstLine="283"/>
      </w:pPr>
      <w:r>
        <w:t>B. in a position to provide more information regarding the PEP's whereabouts and hidden properties.</w:t>
      </w:r>
    </w:p>
    <w:p>
      <w:pPr>
        <w:spacing w:line="360" w:lineRule="auto" w:after="20"/>
        <w:ind w:firstLine="283"/>
      </w:pPr>
      <w:r>
        <w:t>C. travelling to offshore jurisdictions often on holiday, which exposes them to higher AML risks.</w:t>
      </w:r>
    </w:p>
    <w:p>
      <w:pPr>
        <w:spacing w:line="360" w:lineRule="auto" w:after="20"/>
        <w:ind w:firstLine="283"/>
      </w:pPr>
      <w:r>
        <w:t>D. used as intermediaries to facilitate bribery or corruption or to conceal the illicit wealth of the PEP.</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政治敏感人物定义涵盖其家庭成员与密切关联人的贿赂腐败风险</w:t>
      </w:r>
    </w:p>
    <w:p>
      <w:pPr>
        <w:spacing w:before="120" w:after="40"/>
      </w:pPr>
      <w:r>
        <w:rPr>
          <w:b/>
          <w:sz w:val="21"/>
          <w:shd w:fill="D6E4F0" w:val="clear"/>
        </w:rPr>
        <w:t>核心解析</w:t>
      </w:r>
    </w:p>
    <w:p>
      <w:pPr>
        <w:spacing w:line="360" w:lineRule="auto" w:after="40"/>
        <w:ind w:firstLine="420"/>
      </w:pPr>
      <w:r>
        <w:t>教材将政治敏感人物（PEP）定义为“担任显要公职的个人，及其直系亲属或密切关联人，可能面临更高的贿赂和腐败风险”</w:t>
      </w:r>
      <w:r>
        <w:rPr>
          <w:sz w:val="15"/>
          <w:vertAlign w:val="superscript"/>
        </w:rPr>
        <w:t>P137</w:t>
      </w:r>
      <w:r>
        <w:t>。同时指出，部分司法管辖区将PEP分类扩展至家庭成员和密切关联人，正因为他们“可能间接参与金融犯罪”</w:t>
      </w:r>
      <w:r>
        <w:rPr>
          <w:sz w:val="15"/>
          <w:vertAlign w:val="superscript"/>
        </w:rPr>
        <w:t>P320</w:t>
      </w:r>
      <w:r>
        <w:t>。题干设问的核心是“为什么要识别这些人”，教材给出的理由直接落在他们的犯罪参与风险上——家庭成员和密切关联人可能被PEP利用，充当中间人协助贿赂或腐败，或者帮忙隐瞒非法财富。选项D“作为中间人协助贿赂或腐败行为，或为政治公众人物隐瞒非法财富”精准命中了这个风险本质：它不是在描述一般性的可疑行为，而是在描述家庭成员/密切关系人被纳入PEP定义的底层原因——他们本身就是PEP洗钱、受贿、转移非法资金的通道和工具。</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A项错误</w:t>
      </w:r>
    </w:p>
    <w:p>
      <w:pPr>
        <w:spacing w:line="360" w:lineRule="auto" w:after="40"/>
        <w:ind w:firstLine="420"/>
      </w:pPr>
      <w:r>
        <w:t>教材虽在跨境交易章节提及合规复杂性</w:t>
      </w:r>
      <w:r>
        <w:rPr>
          <w:sz w:val="15"/>
          <w:vertAlign w:val="superscript"/>
        </w:rPr>
        <w:t>P95</w:t>
      </w:r>
      <w:r>
        <w:t>，在私人银行部分也提到跨境担保贷款的洗钱风险</w:t>
      </w:r>
      <w:r>
        <w:rPr>
          <w:sz w:val="15"/>
          <w:vertAlign w:val="superscript"/>
        </w:rPr>
        <w:t>P72</w:t>
      </w:r>
      <w:r>
        <w:t>，但这些属于一般客户可能呈现的风险特征，与PEP家庭成员/密切关系人的核心风险定义不在同一个层次。教材将PEP相关风险的核心界定为贿赂和腐败</w:t>
      </w:r>
      <w:r>
        <w:rPr>
          <w:sz w:val="15"/>
          <w:vertAlign w:val="superscript"/>
        </w:rPr>
        <w:t>P137</w:t>
      </w:r>
      <w:r>
        <w:t>，题干条件的匹配度明显更偏向D，而非A所描述的自身商业跨境交易。</w:t>
      </w:r>
    </w:p>
    <w:p>
      <w:pPr>
        <w:spacing w:before="120" w:after="40"/>
      </w:pPr>
      <w:r>
        <w:rPr>
          <w:b/>
          <w:sz w:val="21"/>
          <w:shd w:fill="D6E4F0" w:val="clear"/>
        </w:rPr>
        <w:t>B项错误</w:t>
      </w:r>
    </w:p>
    <w:p>
      <w:pPr>
        <w:spacing w:line="360" w:lineRule="auto" w:after="40"/>
        <w:ind w:firstLine="420"/>
      </w:pPr>
      <w:r>
        <w:t>教材提到执法部门利用SAR报告追踪资金和获取数据</w:t>
      </w:r>
      <w:r>
        <w:rPr>
          <w:sz w:val="15"/>
          <w:vertAlign w:val="superscript"/>
        </w:rPr>
        <w:t>P363</w:t>
      </w:r>
      <w:r>
        <w:t>，且PEP数据库本身也是外部数据来源之一</w:t>
      </w:r>
      <w:r>
        <w:rPr>
          <w:sz w:val="15"/>
          <w:vertAlign w:val="superscript"/>
        </w:rPr>
        <w:t>P466</w:t>
      </w:r>
      <w:r>
        <w:t>，但这描述的是执法调查手段和信息源，不是KYC/CDD中识别家庭成员/密切关系人的原因。题干问的是识别这些人“因为他们可能是”什么，隐含的风险指向是参与犯罪的可能性，而非提供线索的价值。正确项D更直接吻合教材对PEP关联人风险的定义。</w:t>
      </w:r>
    </w:p>
    <w:p>
      <w:pPr>
        <w:spacing w:before="120" w:after="40"/>
      </w:pPr>
      <w:r>
        <w:rPr>
          <w:b/>
          <w:sz w:val="21"/>
          <w:shd w:fill="D6E4F0" w:val="clear"/>
        </w:rPr>
        <w:t>C项错误</w:t>
      </w:r>
    </w:p>
    <w:p>
      <w:pPr>
        <w:spacing w:line="360" w:lineRule="auto" w:after="40"/>
        <w:ind w:firstLine="420"/>
      </w:pPr>
      <w:r>
        <w:t>教材确实在私人银行部分提及，来自腐败严重司法管辖区的客户风险更高</w:t>
      </w:r>
      <w:r>
        <w:rPr>
          <w:sz w:val="15"/>
          <w:vertAlign w:val="superscript"/>
        </w:rPr>
        <w:t>P73</w:t>
      </w:r>
      <w:r>
        <w:t>，在多个司法管辖区持有财富也可能涉及逃税</w:t>
      </w:r>
      <w:r>
        <w:rPr>
          <w:sz w:val="15"/>
          <w:vertAlign w:val="superscript"/>
        </w:rPr>
        <w:t>P71</w:t>
      </w:r>
      <w:r>
        <w:t>，但“前往离岸司法管辖区度假”属于宽泛的行为风险指标，并非PEP家庭成员/密切关系人的定义性风险。教材将这一人群的风险明确锁定在贿赂和腐败</w:t>
      </w:r>
      <w:r>
        <w:rPr>
          <w:sz w:val="15"/>
          <w:vertAlign w:val="superscript"/>
        </w:rPr>
        <w:t>P137</w:t>
      </w:r>
      <w:r>
        <w:t>，D选项直达该定义的核心，而C选项的行为模式与PEP关联人风险本质的匹配度较弱。</w:t>
      </w:r>
    </w:p>
    <w:p>
      <w:pPr>
        <w:spacing w:before="120" w:after="40"/>
      </w:pPr>
      <w:r>
        <w:rPr>
          <w:b/>
          <w:sz w:val="21"/>
          <w:shd w:fill="D6E4F0" w:val="clear"/>
        </w:rPr>
        <w:t>易错提醒</w:t>
      </w:r>
    </w:p>
    <w:p>
      <w:pPr>
        <w:spacing w:line="360" w:lineRule="auto" w:after="40"/>
        <w:ind w:firstLine="420"/>
      </w:pPr>
      <w:r>
        <w:t>区分“一般客户的风险行为指标”与“PEP关联人的定义性风险”。教材将PEP家庭成员/密切关系人的风险直接锁定在贿赂和腐败</w:t>
      </w:r>
      <w:r>
        <w:rPr>
          <w:sz w:val="15"/>
          <w:vertAlign w:val="superscript"/>
        </w:rPr>
        <w:t>P137</w:t>
      </w:r>
      <w:r>
        <w:t>，这是基于身份地位本身蕴含的风险，而不是基于事后观察到的交易或旅行行为。选项C（离岸度假）属于行为风险指标，需要结合更多因素才能推断洗钱嫌疑；而选项D（充当中间人协助贿赂/腐败/隐瞒非法财富）本身就是PEP定义所指向的风险，是识别这一人群的根本原因。题干问“因为他们可能是”，追问的是身份所隐含的危险角色，而非行为所引发的事后推断。</w:t>
      </w:r>
    </w:p>
    <w:p>
      <w:pPr>
        <w:spacing w:line="360" w:lineRule="auto" w:after="120"/>
      </w:pPr>
      <w:r/>
    </w:p>
    <w:p>
      <w:pPr>
        <w:spacing w:line="360" w:lineRule="auto" w:after="40"/>
      </w:pPr>
      <w:r>
        <w:t>6. According to the Financial Action Task Force (FATF) report on terrorist financing, charities and nonprofit organizations are often vulnerable to terrorist financing because they: (Select two.) ( )</w:t>
      </w:r>
    </w:p>
    <w:p>
      <w:pPr>
        <w:spacing w:line="360" w:lineRule="auto" w:after="20"/>
        <w:ind w:firstLine="283"/>
      </w:pPr>
      <w:r>
        <w:t>A. Collect donations from various sources, and their primary objective is philanthropy and social well-being.</w:t>
      </w:r>
    </w:p>
    <w:p>
      <w:pPr>
        <w:spacing w:line="360" w:lineRule="auto" w:after="20"/>
        <w:ind w:firstLine="283"/>
      </w:pPr>
      <w:r>
        <w:t>B. Are usually legitimate establishments and will not use the funds collected through donations for the profit of individuals or entities.</w:t>
      </w:r>
    </w:p>
    <w:p>
      <w:pPr>
        <w:spacing w:line="360" w:lineRule="auto" w:after="20"/>
        <w:ind w:firstLine="283"/>
      </w:pPr>
      <w:r>
        <w:t>C. Have a global presence that provides a framework for national and international operations and financial transactions that are often in or near areas most exposed to terrorist activity.</w:t>
      </w:r>
    </w:p>
    <w:p>
      <w:pPr>
        <w:spacing w:line="360" w:lineRule="auto" w:after="20"/>
        <w:ind w:firstLine="283"/>
      </w:pPr>
      <w:r>
        <w:t>D. Enjoy public trust, can access large sources of funds, and often conduct cash-intensive activities.</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慈善机构/NGO易被恐怖融资滥用的固有特征</w:t>
      </w:r>
      <w:r>
        <w:rPr>
          <w:sz w:val="15"/>
          <w:vertAlign w:val="superscript"/>
        </w:rPr>
        <w:t>P134</w:t>
      </w:r>
    </w:p>
    <w:p>
      <w:pPr>
        <w:spacing w:before="120" w:after="40"/>
      </w:pPr>
      <w:r>
        <w:rPr>
          <w:b/>
          <w:sz w:val="21"/>
          <w:shd w:fill="D6E4F0" w:val="clear"/>
        </w:rPr>
        <w:t>核心解析</w:t>
      </w:r>
    </w:p>
    <w:p>
      <w:pPr>
        <w:spacing w:line="360" w:lineRule="auto" w:after="40"/>
        <w:ind w:firstLine="420"/>
      </w:pPr>
      <w:r>
        <w:t>教材在P134列举了慈善机构和非政府组织（NGO）易被金融犯罪（包括恐怖融资）滥用的具体特征。这些特征是一个清单，题干问的是“根据FATF报告，原因在于”，实质是在考查这个清单中的内容。选项C和D分别精确对应了清单中的三个特征：选项C合并了“通常具有全球存在”（Often having a global presence, P134）和“通常位于或邻近恐怖活动暴露区域”（Often being in or near areas exposed to terrorist activity, P134），这为恐怖组织跨境转移资金、利用区域冲突环境提供了框架和便利。选项D合并了“享有公众信任”（Enjoying the public trust, P134）、“可从未知或未披露来源获取大量资金”（Having access to considerable funds from unknown or undisclosed sources, P134）和“现金密集型”（Being cash-intensive, P134），这意味着它们能接触大量不易追踪的资金，且因信任度高而不易被监管机构怀疑。题干所问的“容易受到恐怖主义融资影响的原因”，最直接的答案就是这些被教材明确列为脆弱性特征的因素。</w:t>
      </w:r>
    </w:p>
    <w:p>
      <w:pPr>
        <w:spacing w:before="120" w:after="40"/>
      </w:pPr>
      <w:r>
        <w:rPr>
          <w:b/>
          <w:sz w:val="21"/>
          <w:shd w:fill="D6E4F0" w:val="clear"/>
        </w:rPr>
        <w:t>A项错误</w:t>
      </w:r>
    </w:p>
    <w:p>
      <w:pPr>
        <w:spacing w:line="360" w:lineRule="auto" w:after="40"/>
        <w:ind w:firstLine="420"/>
      </w:pPr>
      <w:r>
        <w:t>本项描述的是慈善机构的客观状态（多渠道募集捐款）和合法目的（慈善事业与社会福祉）。题干问的是其易被恐怖融资“滥用”的原因，这属于组织的脆弱性特征；相比之下，教材P134所列的脆弱性特征（如C、D项所述）更直接地解释了为什么这些组织会被犯罪者盯上并利用，而本项的性质更偏向定义而非风险特征。</w:t>
      </w:r>
    </w:p>
    <w:p>
      <w:pPr>
        <w:spacing w:before="120" w:after="40"/>
      </w:pPr>
      <w:r>
        <w:rPr>
          <w:b/>
          <w:sz w:val="21"/>
          <w:shd w:fill="D6E4F0" w:val="clear"/>
        </w:rPr>
        <w:t>B项错误</w:t>
      </w:r>
    </w:p>
    <w:p>
      <w:pPr>
        <w:spacing w:line="360" w:lineRule="auto" w:after="40"/>
        <w:ind w:firstLine="420"/>
      </w:pPr>
      <w:r>
        <w:t>选项声称慈善机构“不会”将资金用于个人或实体谋取私利，这暗含了一种因其合法性高而不易被滥用的逻辑。但教材P135明确指出，尽管多数慈善机构合法，但恐怖组织确实会利用合法慈善机构作为资助其非法活动的工具。因此，本项描述的情况并不构成其易受影响的原因，反而与教材指出的被滥用事实方向相悖。题干更支持C和D这类机构固有运营特性作为成因，而非本项所暗示的廉洁性保障。</w:t>
      </w:r>
    </w:p>
    <w:p>
      <w:pPr>
        <w:spacing w:before="120" w:after="40"/>
      </w:pPr>
      <w:r>
        <w:rPr>
          <w:b/>
          <w:sz w:val="21"/>
          <w:shd w:fill="D6E4F0" w:val="clear"/>
        </w:rPr>
        <w:t>易错提醒</w:t>
      </w:r>
    </w:p>
    <w:p>
      <w:pPr>
        <w:spacing w:line="360" w:lineRule="auto" w:after="40"/>
        <w:ind w:firstLine="420"/>
      </w:pPr>
      <w:r>
        <w:t>注意区分慈善机构的“慈善目的”（选项A）和其“运营特征”（选项C、D）。题目问的是为何“易受恐怖主义融资影响”，答案是后者，即那些使其能够或更容易被犯罪分子滥用的组织特性和运营模式，而非其设立初衷或表面合规性。选项B更是将“声称不谋私利”的事实误解为不易受影响的理由，而实际上这种“合法外衣”恰恰可能被恐怖组织所利用。</w:t>
      </w:r>
    </w:p>
    <w:p>
      <w:pPr>
        <w:spacing w:line="360" w:lineRule="auto" w:after="120"/>
      </w:pPr>
      <w:r/>
    </w:p>
    <w:p>
      <w:pPr>
        <w:spacing w:line="360" w:lineRule="auto" w:after="40"/>
      </w:pPr>
      <w:r>
        <w:t>7. Which of the following are suspicious transactions by a customer? (Select Three.) ( )</w:t>
      </w:r>
    </w:p>
    <w:p>
      <w:pPr>
        <w:spacing w:line="360" w:lineRule="auto" w:after="20"/>
        <w:ind w:firstLine="283"/>
      </w:pPr>
      <w:r>
        <w:t>A. A customer deposits a large number of consecutively numbered money orders.</w:t>
      </w:r>
    </w:p>
    <w:p>
      <w:pPr>
        <w:spacing w:line="360" w:lineRule="auto" w:after="20"/>
        <w:ind w:firstLine="283"/>
      </w:pPr>
      <w:r>
        <w:t>B. A customer requests loans made to local companies or secured by obligations of local banks.</w:t>
      </w:r>
    </w:p>
    <w:p>
      <w:pPr>
        <w:spacing w:line="360" w:lineRule="auto" w:after="20"/>
        <w:ind w:firstLine="283"/>
      </w:pPr>
      <w:r>
        <w:t>C. A customer has regular deposits and withdrawals primarily in wire transfers.</w:t>
      </w:r>
    </w:p>
    <w:p>
      <w:pPr>
        <w:spacing w:line="360" w:lineRule="auto" w:after="20"/>
        <w:ind w:firstLine="283"/>
      </w:pPr>
      <w:r>
        <w:t>D. A customer receives wire transfers from different unknown accounts which are immediately wired onwards to a third party.</w:t>
      </w:r>
    </w:p>
    <w:p>
      <w:pPr>
        <w:spacing w:line="360" w:lineRule="auto" w:after="20"/>
        <w:ind w:firstLine="283"/>
      </w:pPr>
      <w:r>
        <w:t>E. A customer makes withdrawals each time just below the reporting threshold.</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识别涉及不明来源资金、快速转移和结构化交易的可疑危险信号</w:t>
      </w:r>
    </w:p>
    <w:p>
      <w:pPr>
        <w:spacing w:before="120" w:after="40"/>
      </w:pPr>
      <w:r>
        <w:rPr>
          <w:b/>
          <w:sz w:val="21"/>
          <w:shd w:fill="D6E4F0" w:val="clear"/>
        </w:rPr>
        <w:t>核心解析</w:t>
      </w:r>
    </w:p>
    <w:p>
      <w:pPr>
        <w:spacing w:line="360" w:lineRule="auto" w:after="40"/>
        <w:ind w:firstLine="420"/>
      </w:pPr>
      <w:r>
        <w:t>洗钱的可疑交易危险信号包括涉及来源不明或可疑资金的交易</w:t>
      </w:r>
      <w:r>
        <w:rPr>
          <w:sz w:val="15"/>
          <w:vertAlign w:val="superscript"/>
        </w:rPr>
        <w:t>P128</w:t>
      </w:r>
      <w:r>
        <w:t>，以及故意将交易金额保持在报告限额以下的结构化（structuring）行为</w:t>
      </w:r>
      <w:r>
        <w:rPr>
          <w:sz w:val="15"/>
          <w:vertAlign w:val="superscript"/>
        </w:rPr>
        <w:t>P446</w:t>
      </w:r>
      <w:r>
        <w:t>。题干中，选项A“存入了大量连续编号的汇票”暗示资金可能来自同一可疑来源；选项D“收到来自不同未知账户的电汇款项，随即又被电汇给第三方”典型体现了来源不明资金的快速转移；选项E“每次取款金额都略低于报告限额”是经典的结构化拆分手法。三者均直接吻合教材定义的可疑交易特征。</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教材中贷款产品是常规银行业务</w:t>
      </w:r>
      <w:r>
        <w:rPr>
          <w:sz w:val="15"/>
          <w:vertAlign w:val="superscript"/>
        </w:rPr>
        <w:t>P67</w:t>
      </w:r>
      <w:r>
        <w:t>，其洗钱风险主要通过提前还贷等异常行为体现，题干仅描述普通贷款申请，未包含任何异常要素，因此匹配可疑交易的直接性远不如A、D、E。</w:t>
      </w:r>
    </w:p>
    <w:p>
      <w:pPr>
        <w:spacing w:before="120" w:after="40"/>
      </w:pPr>
      <w:r>
        <w:rPr>
          <w:b/>
          <w:sz w:val="21"/>
          <w:shd w:fill="D6E4F0" w:val="clear"/>
        </w:rPr>
        <w:t>C项错误</w:t>
      </w:r>
    </w:p>
    <w:p>
      <w:pPr>
        <w:spacing w:line="360" w:lineRule="auto" w:after="40"/>
        <w:ind w:firstLine="420"/>
      </w:pPr>
      <w:r>
        <w:t>电汇是常见的电子转账方式，虽具风险</w:t>
      </w:r>
      <w:r>
        <w:rPr>
          <w:sz w:val="15"/>
          <w:vertAlign w:val="superscript"/>
        </w:rPr>
        <w:t>P78</w:t>
      </w:r>
      <w:r>
        <w:t>，但定期存款和取款活动本身属于正常交易模式，题干未出现与高风险地区、异常频率或来源不明资金等关联要素，相比之下A、D、E更直接对应教材列举的可疑信号。</w:t>
      </w:r>
    </w:p>
    <w:p>
      <w:pPr>
        <w:spacing w:before="120" w:after="40"/>
      </w:pPr>
      <w:r>
        <w:rPr>
          <w:b/>
          <w:sz w:val="21"/>
          <w:shd w:fill="D6E4F0" w:val="clear"/>
        </w:rPr>
        <w:t>易错提醒</w:t>
      </w:r>
    </w:p>
    <w:p>
      <w:pPr>
        <w:spacing w:line="360" w:lineRule="auto" w:after="40"/>
        <w:ind w:firstLine="420"/>
      </w:pPr>
      <w:r>
        <w:t>贷款产品本身的申请不构成可疑信号，洗钱风险集中在提前还款、使用非法资金还款等异常行为</w:t>
      </w:r>
      <w:r>
        <w:rPr>
          <w:sz w:val="15"/>
          <w:vertAlign w:val="superscript"/>
        </w:rPr>
        <w:t>P67</w:t>
      </w:r>
      <w:r>
        <w:t>；电汇的日常使用不等于可疑，需结合来源、频率、交易对手等背景判断。</w:t>
      </w:r>
    </w:p>
    <w:p>
      <w:pPr>
        <w:spacing w:line="360" w:lineRule="auto" w:after="120"/>
      </w:pPr>
      <w:r/>
    </w:p>
    <w:p>
      <w:pPr>
        <w:spacing w:line="360" w:lineRule="auto" w:after="40"/>
      </w:pPr>
      <w:r>
        <w:t>8. An employee in a corporation's finance department hears news of an internal investigation into potential fraud within the company, quits her job, and disappears. If she had been observed before her resignation, which characteristics of the employee would have been considered red flags? (Select Two.) ( )</w:t>
      </w:r>
    </w:p>
    <w:p>
      <w:pPr>
        <w:spacing w:line="360" w:lineRule="auto" w:after="20"/>
        <w:ind w:firstLine="283"/>
      </w:pPr>
      <w:r>
        <w:t>A. The employee was originally from a high-risk jurisdiction.</w:t>
      </w:r>
    </w:p>
    <w:p>
      <w:pPr>
        <w:spacing w:line="360" w:lineRule="auto" w:after="20"/>
        <w:ind w:firstLine="283"/>
      </w:pPr>
      <w:r>
        <w:t>B. The employee had friends in high-risk industries.</w:t>
      </w:r>
    </w:p>
    <w:p>
      <w:pPr>
        <w:spacing w:line="360" w:lineRule="auto" w:after="20"/>
        <w:ind w:firstLine="283"/>
      </w:pPr>
      <w:r>
        <w:t>C. The employee had a lavish lifestyle for her income.</w:t>
      </w:r>
    </w:p>
    <w:p>
      <w:pPr>
        <w:spacing w:line="360" w:lineRule="auto" w:after="20"/>
        <w:ind w:firstLine="283"/>
      </w:pPr>
      <w:r>
        <w:t>D. The employee was constantly evasive about the reasons for leaving her previous corporate finance job.</w:t>
      </w:r>
    </w:p>
    <w:p>
      <w:pPr>
        <w:spacing w:line="360" w:lineRule="auto" w:after="40"/>
      </w:pPr>
      <w:r>
        <w:t>答案：C、D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识别与收入不符的生活方式和回避敏感信息的行为危险信号</w:t>
      </w:r>
    </w:p>
    <w:p>
      <w:pPr>
        <w:spacing w:before="120" w:after="40"/>
      </w:pPr>
      <w:r>
        <w:rPr>
          <w:b/>
          <w:sz w:val="21"/>
          <w:shd w:fill="D6E4F0" w:val="clear"/>
        </w:rPr>
        <w:t>核心解析</w:t>
      </w:r>
    </w:p>
    <w:p>
      <w:pPr>
        <w:spacing w:line="360" w:lineRule="auto" w:after="40"/>
        <w:ind w:firstLine="420"/>
      </w:pPr>
      <w:r>
        <w:t>教材在Ong企业洗钱案例中展示了这样一个危险信号：月薪约2,500美元的企业经理却有能力购买高价值珠宝，这种“生活方式与收入极不相称”的情况被视为可疑</w:t>
      </w:r>
      <w:r>
        <w:rPr>
          <w:sz w:val="15"/>
          <w:vertAlign w:val="superscript"/>
        </w:rPr>
        <w:t>P130</w:t>
      </w:r>
      <w:r>
        <w:t>。本题中，财务部门员工的生活方式与其收入极不相称，直接吻合这一危险信号所揭示的逻辑——即个人消费或生活水准无法由合法收入合理解释，可能暗示存在其他不当资金来源。另一方面，教材在讨论员工与客户沟通时指出，如果客户不合作（uncooperative），可能引发怀疑，许多违规行为本可通过及早怀疑而预防</w:t>
      </w:r>
      <w:r>
        <w:rPr>
          <w:sz w:val="15"/>
          <w:vertAlign w:val="superscript"/>
        </w:rPr>
        <w:t>P341</w:t>
      </w:r>
      <w:r>
        <w:t>。虽然这段原文的适用场景是员工与客户之间的互动，但“不合作、闪烁其词”作为一种广义的行为危险信号，可以延伸至内部调查场景：该财务员工对离职前一份企业财务工作的原因始终闪烁其词，正是一种刻意回避敏感信息的不合作表现。综合来看，选项C直接命中个人财务行为异常，选项D直接命中沟通行为异常，两者组合构成对内部欺诈嫌疑人的完整行为画像。</w:t>
      </w:r>
    </w:p>
    <w:p>
      <w:pPr>
        <w:spacing w:before="120" w:after="40"/>
      </w:pPr>
      <w:r>
        <w:rPr>
          <w:b/>
          <w:sz w:val="21"/>
          <w:shd w:fill="D6E4F0" w:val="clear"/>
        </w:rPr>
        <w:t>教材原句</w:t>
      </w:r>
    </w:p>
    <w:p>
      <w:pPr>
        <w:spacing w:line="360" w:lineRule="auto" w:after="40"/>
        <w:ind w:firstLine="420"/>
      </w:pPr>
      <w:r>
        <w:t>"These managers reportedly earn monthly salaries of around US$2,500, making their ability to purchase high-value items suspicious."</w:t>
      </w:r>
    </w:p>
    <w:p>
      <w:pPr>
        <w:spacing w:before="120" w:after="40"/>
      </w:pPr>
      <w:r>
        <w:rPr>
          <w:b/>
          <w:sz w:val="21"/>
          <w:shd w:fill="D6E4F0" w:val="clear"/>
        </w:rPr>
        <w:t>A项错误</w:t>
      </w:r>
    </w:p>
    <w:p>
      <w:pPr>
        <w:spacing w:line="360" w:lineRule="auto" w:after="40"/>
        <w:ind w:firstLine="420"/>
      </w:pPr>
      <w:r>
        <w:t>教材在房地产章节中提及，来自高风险或未合作司法管辖区的买家构成额外洗钱风险</w:t>
      </w:r>
      <w:r>
        <w:rPr>
          <w:sz w:val="15"/>
          <w:vertAlign w:val="superscript"/>
        </w:rPr>
        <w:t>P122</w:t>
      </w:r>
      <w:r>
        <w:t>，但这一定义依赖“买家+购买行为”这一特定场景。题干描述的是一位正在接受内部调查后辞职消失的财务员工，仅凭其原籍地为高风险地区就视为危险信号，不如选项C和D所指向的个人行为异常（生活方式与收入失配、回避敏感信息）更直接吻合内部欺诈场景。</w:t>
      </w:r>
    </w:p>
    <w:p>
      <w:pPr>
        <w:spacing w:before="120" w:after="40"/>
      </w:pPr>
      <w:r>
        <w:rPr>
          <w:b/>
          <w:sz w:val="21"/>
          <w:shd w:fill="D6E4F0" w:val="clear"/>
        </w:rPr>
        <w:t>B项错误</w:t>
      </w:r>
    </w:p>
    <w:p>
      <w:pPr>
        <w:spacing w:line="360" w:lineRule="auto" w:after="40"/>
        <w:ind w:firstLine="420"/>
      </w:pPr>
      <w:r>
        <w:t>教材在讨论高风险客户分类时指出，从事现金密集型或高风险行业（如货币服务、加密货币交易所、赌博、军火交易和奢侈品）属于行业风险因素</w:t>
      </w:r>
      <w:r>
        <w:rPr>
          <w:sz w:val="15"/>
          <w:vertAlign w:val="superscript"/>
        </w:rPr>
        <w:t>P312</w:t>
      </w:r>
      <w:r>
        <w:t>。但此处题干问的是该员工自身的危险信号，而非她朋友的职业风险属性。拥有在高风险行业工作的朋友，其相关性与直接程度远不如该员工本人的生活方式失配和回避行为来得强。</w:t>
      </w:r>
    </w:p>
    <w:p>
      <w:pPr>
        <w:spacing w:before="120" w:after="40"/>
      </w:pPr>
      <w:r>
        <w:rPr>
          <w:b/>
          <w:sz w:val="21"/>
          <w:shd w:fill="D6E4F0" w:val="clear"/>
        </w:rPr>
        <w:t>易错提醒</w:t>
      </w:r>
    </w:p>
    <w:p>
      <w:pPr>
        <w:spacing w:line="360" w:lineRule="auto" w:after="40"/>
        <w:ind w:firstLine="420"/>
      </w:pPr>
      <w:r>
        <w:t>在区分危险信号时，关键在于该信号是否指向被调查者本人的可疑行为或属性，而非其周围环境或关联人的标签。“原籍地”和“朋友行业”属于间接关联因素，而“个人消费远超收入”和“回避关键问题”属于直接的个人行为异常。教材语境下，直接的行为异常通常比间接的关联属性优先作为危险信号。</w:t>
      </w:r>
    </w:p>
    <w:p>
      <w:pPr>
        <w:spacing w:line="360" w:lineRule="auto" w:after="120"/>
      </w:pPr>
      <w:r/>
    </w:p>
    <w:p>
      <w:pPr>
        <w:spacing w:line="360" w:lineRule="auto" w:after="40"/>
      </w:pPr>
      <w:r>
        <w:t>9. An agent of a wealthy individual residing in Country A, which is on the EU list of high-risk third jurisdictions, approaches a notary in Country B, which is in the EU. The agent wants to complete a disposal of assets recently acquired at auction by the wealthy individual through an offshore company. The agent also has a power of attorney to act on behalf of the offshore company, issued by a respectable law firm from Country C, which is also in the EU. The agent asks the notary to proceed with the disposal as quickly as possible without paying any specific attention to related costs or taxes to be paid as a result of this transaction. The notary notices the intended transfer price is significantly lower than the one recorded at auction, but the agent does not want to discuss this matter and claims that it is not covered by the power of attorney. Which red flags should the notary consider? (Select two.) ( )</w:t>
      </w:r>
    </w:p>
    <w:p>
      <w:pPr>
        <w:spacing w:line="360" w:lineRule="auto" w:after="20"/>
        <w:ind w:firstLine="283"/>
      </w:pPr>
      <w:r>
        <w:t>A. The agent requests disposal of the assets at a price below the recent acquisition price.</w:t>
      </w:r>
    </w:p>
    <w:p>
      <w:pPr>
        <w:spacing w:line="360" w:lineRule="auto" w:after="20"/>
        <w:ind w:firstLine="283"/>
      </w:pPr>
      <w:r>
        <w:t>B. The assets acquired through auction were registered in the name of an offshore company.</w:t>
      </w:r>
    </w:p>
    <w:p>
      <w:pPr>
        <w:spacing w:line="360" w:lineRule="auto" w:after="20"/>
        <w:ind w:firstLine="283"/>
      </w:pPr>
      <w:r>
        <w:t>C. The agent represents a person residing in a jurisdiction on the EU list of high-risk third countries.</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按资产价值异常与客户管辖风险识别红旗信号</w:t>
      </w:r>
    </w:p>
    <w:p>
      <w:pPr>
        <w:spacing w:before="120" w:after="40"/>
      </w:pPr>
      <w:r>
        <w:rPr>
          <w:b/>
          <w:sz w:val="21"/>
          <w:shd w:fill="D6E4F0" w:val="clear"/>
        </w:rPr>
        <w:t>核心解析</w:t>
      </w:r>
    </w:p>
    <w:p>
      <w:pPr>
        <w:spacing w:line="360" w:lineRule="auto" w:after="40"/>
        <w:ind w:firstLine="420"/>
      </w:pPr>
      <w:r>
        <w:t>教材指出犯罪分子会抬高或压低资产价值以操纵交易、掩盖资金真实性质</w:t>
      </w:r>
      <w:r>
        <w:rPr>
          <w:sz w:val="15"/>
          <w:vertAlign w:val="superscript"/>
        </w:rPr>
        <w:t>P129</w:t>
      </w:r>
      <w:r>
        <w:t>；来自欧盟高风险第三国名单的客户构成额外的洗钱风险</w:t>
      </w:r>
      <w:r>
        <w:rPr>
          <w:sz w:val="15"/>
          <w:vertAlign w:val="superscript"/>
        </w:rPr>
        <w:t>P307、P122</w:t>
      </w:r>
      <w:r>
        <w:t>。题干中代理人要求的转让价格明显低于拍卖成交价，且不愿解释差额，直接符合故意压低资产价值的风险指标；同时委托人居住地被列入欧盟高风险第三国名单，触发管辖风险信号。这两项在教材框架下是明确、直接的红旗信号。</w:t>
      </w:r>
    </w:p>
    <w:p>
      <w:pPr>
        <w:spacing w:before="120" w:after="40"/>
      </w:pPr>
      <w:r>
        <w:rPr>
          <w:b/>
          <w:sz w:val="21"/>
          <w:shd w:fill="D6E4F0" w:val="clear"/>
        </w:rPr>
        <w:t>教材原句</w:t>
      </w:r>
    </w:p>
    <w:p>
      <w:pPr>
        <w:spacing w:line="360" w:lineRule="auto" w:after="40"/>
        <w:ind w:firstLine="420"/>
      </w:pPr>
      <w:r>
        <w:t>"Criminals inflate or deflate the asset’s value to manipulate financial transactions and obscure the true nature of the funds involved."</w:t>
      </w:r>
    </w:p>
    <w:p>
      <w:pPr>
        <w:spacing w:before="120" w:after="40"/>
      </w:pPr>
      <w:r>
        <w:rPr>
          <w:b/>
          <w:sz w:val="21"/>
          <w:shd w:fill="D6E4F0" w:val="clear"/>
        </w:rPr>
        <w:t>B项错误</w:t>
      </w:r>
    </w:p>
    <w:p>
      <w:pPr>
        <w:spacing w:line="360" w:lineRule="auto" w:after="40"/>
        <w:ind w:firstLine="420"/>
      </w:pPr>
      <w:r>
        <w:t>教材列举的风险信号是由公司、信托或代名人持有房产且“无合理解释”</w:t>
      </w:r>
      <w:r>
        <w:rPr>
          <w:sz w:val="15"/>
          <w:vertAlign w:val="superscript"/>
        </w:rPr>
        <w:t>P121</w:t>
      </w:r>
      <w:r>
        <w:t>。题干中代理人持有欧盟知名律师事务所出具的授权委托书，这一安排本身就提供了一定程度的业务合理性说明，不像选项A的低价转让和选项C的高风险管辖地那样直接对应明确的危险信号。因此，在题干现有条件下，离岸公司持股这一情形的风险匹配度不如正确项。</w:t>
      </w:r>
    </w:p>
    <w:p>
      <w:pPr>
        <w:spacing w:line="360" w:lineRule="auto" w:after="120"/>
      </w:pPr>
      <w:r/>
    </w:p>
    <w:p>
      <w:pPr>
        <w:spacing w:line="360" w:lineRule="auto" w:after="40"/>
      </w:pPr>
      <w:r>
        <w:t>10. In the context of terrorist financing, which of the following are potential indicators of the abuse of non-profit organizations (NPOs)? (Choose two.) ( )</w:t>
      </w:r>
    </w:p>
    <w:p>
      <w:pPr>
        <w:spacing w:line="360" w:lineRule="auto" w:after="20"/>
        <w:ind w:firstLine="283"/>
      </w:pPr>
      <w:r>
        <w:t>A. Involvement in community development and humanitarian aid projects.</w:t>
      </w:r>
    </w:p>
    <w:p>
      <w:pPr>
        <w:spacing w:line="360" w:lineRule="auto" w:after="20"/>
        <w:ind w:firstLine="283"/>
      </w:pPr>
      <w:r>
        <w:t>B. Large and unaccounted cash donations from anonymous sources.</w:t>
      </w:r>
    </w:p>
    <w:p>
      <w:pPr>
        <w:spacing w:line="360" w:lineRule="auto" w:after="20"/>
        <w:ind w:firstLine="283"/>
      </w:pPr>
      <w:r>
        <w:t>C. Operating in high-risk jurisdictions with limited oversight.</w:t>
      </w:r>
    </w:p>
    <w:p>
      <w:pPr>
        <w:spacing w:line="360" w:lineRule="auto" w:after="20"/>
        <w:ind w:firstLine="283"/>
      </w:pPr>
      <w:r>
        <w:t>D. Frequent changes in leadership and mission statements.</w:t>
      </w:r>
    </w:p>
    <w:p>
      <w:pPr>
        <w:spacing w:line="360" w:lineRule="auto" w:after="20"/>
        <w:ind w:firstLine="283"/>
      </w:pPr>
      <w:r>
        <w:t>E. Extensive transparency in financial reporting and governance practices.</w:t>
      </w:r>
    </w:p>
    <w:p>
      <w:pPr>
        <w:spacing w:line="360" w:lineRule="auto" w:after="40"/>
      </w:pPr>
      <w:r>
        <w:t>答案：B、C</w:t>
      </w:r>
    </w:p>
    <w:p>
      <w:pPr>
        <w:spacing w:line="360" w:lineRule="auto" w:after="40"/>
      </w:pPr>
      <w:r>
        <w:t>解析：</w:t>
      </w:r>
    </w:p>
    <w:p>
      <w:pPr>
        <w:spacing w:before="120" w:after="40"/>
      </w:pPr>
      <w:r>
        <w:rPr>
          <w:b/>
          <w:sz w:val="21"/>
          <w:shd w:fill="D6E4F0" w:val="clear"/>
        </w:rPr>
        <w:t>考点</w:t>
      </w:r>
    </w:p>
    <w:p>
      <w:pPr>
        <w:spacing w:line="360" w:lineRule="auto" w:after="40"/>
        <w:ind w:firstLine="420"/>
      </w:pPr>
      <w:r>
        <w:t>辨识非营利组织被恐怖融资滥用的风险指标</w:t>
      </w:r>
    </w:p>
    <w:p>
      <w:pPr>
        <w:spacing w:before="120" w:after="40"/>
      </w:pPr>
      <w:r>
        <w:rPr>
          <w:b/>
          <w:sz w:val="21"/>
          <w:shd w:fill="D6E4F0" w:val="clear"/>
        </w:rPr>
        <w:t>核心解析</w:t>
      </w:r>
    </w:p>
    <w:p>
      <w:pPr>
        <w:spacing w:line="360" w:lineRule="auto" w:after="40"/>
        <w:ind w:firstLine="420"/>
      </w:pPr>
      <w:r>
        <w:t>慈善机构和非政府组织因跨境运营、现金密集、享有公众信任等特点，容易被金融犯罪滥用</w:t>
      </w:r>
      <w:r>
        <w:rPr>
          <w:sz w:val="15"/>
          <w:vertAlign w:val="superscript"/>
        </w:rPr>
        <w:t>P134</w:t>
      </w:r>
      <w:r>
        <w:t>。具体特征包括“可从未知或未披露来源获取大量资金”</w:t>
      </w:r>
      <w:r>
        <w:rPr>
          <w:sz w:val="15"/>
          <w:vertAlign w:val="superscript"/>
        </w:rPr>
        <w:t>P134</w:t>
      </w:r>
      <w:r>
        <w:t>，以及因某些司法管辖区监管宽松而被利用转移非法资金</w:t>
      </w:r>
      <w:r>
        <w:rPr>
          <w:sz w:val="15"/>
          <w:vertAlign w:val="superscript"/>
        </w:rPr>
        <w:t>P82</w:t>
      </w:r>
      <w:r>
        <w:t>。选项B“来自匿名来源的大额且无法说明来源的现金捐赠”直接对应资金来自未披露来源这一特征；选项C“在监管有限的高风险司法管辖区开展业务”则吻合监管宽松、跨境运营可被不当利用的描述。二者均属教材明确列出的潜在滥用迹象。</w:t>
      </w:r>
    </w:p>
    <w:p>
      <w:pPr>
        <w:spacing w:before="120" w:after="40"/>
      </w:pPr>
      <w:r>
        <w:rPr>
          <w:b/>
          <w:sz w:val="21"/>
          <w:shd w:fill="D6E4F0" w:val="clear"/>
        </w:rPr>
        <w:t>教材原句</w:t>
      </w:r>
    </w:p>
    <w:p>
      <w:pPr>
        <w:spacing w:line="360" w:lineRule="auto" w:after="40"/>
        <w:ind w:firstLine="420"/>
      </w:pPr>
      <w:r>
        <w:t>"Having access to considerable funds from unknown or undisclosed sources"</w:t>
      </w:r>
    </w:p>
    <w:p>
      <w:pPr>
        <w:spacing w:before="120" w:after="40"/>
      </w:pPr>
      <w:r>
        <w:rPr>
          <w:b/>
          <w:sz w:val="21"/>
          <w:shd w:fill="D6E4F0" w:val="clear"/>
        </w:rPr>
        <w:t>A项错误</w:t>
      </w:r>
    </w:p>
    <w:p>
      <w:pPr>
        <w:spacing w:line="360" w:lineRule="auto" w:after="40"/>
        <w:ind w:firstLine="420"/>
      </w:pPr>
      <w:r>
        <w:t>教材指出“慈善机构和非政府组织提供多种服务和人道主义职能。”。题干中的条件与“参与社区发展和人道主义援助项目”不一致。</w:t>
      </w:r>
    </w:p>
    <w:p>
      <w:pPr>
        <w:spacing w:before="120" w:after="40"/>
      </w:pPr>
      <w:r>
        <w:rPr>
          <w:b/>
          <w:sz w:val="21"/>
          <w:shd w:fill="D6E4F0" w:val="clear"/>
        </w:rPr>
        <w:t>D项错误</w:t>
      </w:r>
    </w:p>
    <w:p>
      <w:pPr>
        <w:spacing w:line="360" w:lineRule="auto" w:after="40"/>
        <w:ind w:firstLine="420"/>
      </w:pPr>
      <w:r>
        <w:t>领导层和使命宣言频繁变化暗示组织不稳定或缺乏长期方向，但教材并未将其纳入非营利组织滥用指标。相比之下，正确项B和C直接对应教材列举的“未知来源资金”与“高风险司法管辖区监管有限”等特征，匹配度更直接。</w:t>
      </w:r>
    </w:p>
    <w:p>
      <w:pPr>
        <w:spacing w:before="120" w:after="40"/>
      </w:pPr>
      <w:r>
        <w:rPr>
          <w:b/>
          <w:sz w:val="21"/>
          <w:shd w:fill="D6E4F0" w:val="clear"/>
        </w:rPr>
        <w:t>E项错误</w:t>
      </w:r>
    </w:p>
    <w:p>
      <w:pPr>
        <w:spacing w:line="360" w:lineRule="auto" w:after="40"/>
        <w:ind w:firstLine="420"/>
      </w:pPr>
      <w:r>
        <w:t>高度透明的财务报告和治理实践是良好治理的体现，教材强调结构化、透明的内部报告有助于改善治理问责和风险缓解</w:t>
      </w:r>
      <w:r>
        <w:rPr>
          <w:sz w:val="15"/>
          <w:vertAlign w:val="superscript"/>
        </w:rPr>
        <w:t>P297</w:t>
      </w:r>
      <w:r>
        <w:t>，这与恐怖融资滥用非营利组织时通常伴随的不透明正好相反，因此其作为滥用迹象的匹配度远低于B、C。</w:t>
      </w:r>
    </w:p>
    <w:p>
      <w:pPr>
        <w:spacing w:line="360" w:lineRule="auto" w:after="120"/>
      </w:pPr>
      <w:r/>
    </w:p>
    <w:p>
      <w:pPr>
        <w:spacing w:line="360" w:lineRule="auto" w:after="40"/>
      </w:pPr>
      <w:r>
        <w:t>11. Which red flags could indicate increased terror financing and money laundering risks related to cultural objects? (Select three.) ( )</w:t>
      </w:r>
    </w:p>
    <w:p>
      <w:pPr>
        <w:spacing w:line="360" w:lineRule="auto" w:after="20"/>
        <w:ind w:firstLine="283"/>
      </w:pPr>
      <w:r>
        <w:t>A. Engagement of third-party art advisors as representatives at art auctions.</w:t>
      </w:r>
    </w:p>
    <w:p>
      <w:pPr>
        <w:spacing w:line="360" w:lineRule="auto" w:after="20"/>
        <w:ind w:firstLine="283"/>
      </w:pPr>
      <w:r>
        <w:t>B. High-quality single pieces of significant value sold on social media platforms.</w:t>
      </w:r>
    </w:p>
    <w:p>
      <w:pPr>
        <w:spacing w:line="360" w:lineRule="auto" w:after="20"/>
        <w:ind w:firstLine="283"/>
      </w:pPr>
      <w:r>
        <w:t>C. Use of art and antiquity experts to verify an item's authenticity.</w:t>
      </w:r>
    </w:p>
    <w:p>
      <w:pPr>
        <w:spacing w:line="360" w:lineRule="auto" w:after="20"/>
        <w:ind w:firstLine="283"/>
      </w:pPr>
      <w:r>
        <w:t>D. Paying fair market value or premium prices for valuable art, gems, or precious metals at auction.</w:t>
      </w:r>
    </w:p>
    <w:p>
      <w:pPr>
        <w:spacing w:line="360" w:lineRule="auto" w:after="20"/>
        <w:ind w:firstLine="283"/>
      </w:pPr>
      <w:r>
        <w:t>E. Use of art storage facilities located in tax-free zones.</w:t>
      </w:r>
    </w:p>
    <w:p>
      <w:pPr>
        <w:spacing w:line="360" w:lineRule="auto" w:after="40"/>
      </w:pPr>
      <w:r>
        <w:t>答案：A、B、E</w:t>
      </w:r>
    </w:p>
    <w:p>
      <w:pPr>
        <w:spacing w:line="360" w:lineRule="auto" w:after="40"/>
      </w:pPr>
      <w:r>
        <w:t>解析：</w:t>
      </w:r>
    </w:p>
    <w:p>
      <w:pPr>
        <w:spacing w:before="120" w:after="40"/>
      </w:pPr>
      <w:r>
        <w:rPr>
          <w:b/>
          <w:sz w:val="21"/>
          <w:shd w:fill="D6E4F0" w:val="clear"/>
        </w:rPr>
        <w:t>考点</w:t>
      </w:r>
    </w:p>
    <w:p>
      <w:pPr>
        <w:spacing w:line="360" w:lineRule="auto" w:after="40"/>
        <w:ind w:firstLine="420"/>
      </w:pPr>
      <w:r>
        <w:t>辨识与文化物品相关的匿名性、非正规渠道及监管薄弱区三大洗钱风险信号</w:t>
      </w:r>
    </w:p>
    <w:p>
      <w:pPr>
        <w:spacing w:before="120" w:after="40"/>
      </w:pPr>
      <w:r>
        <w:rPr>
          <w:b/>
          <w:sz w:val="21"/>
          <w:shd w:fill="D6E4F0" w:val="clear"/>
        </w:rPr>
        <w:t>核心解析</w:t>
      </w:r>
    </w:p>
    <w:p>
      <w:pPr>
        <w:spacing w:line="360" w:lineRule="auto" w:after="40"/>
        <w:ind w:firstLine="420"/>
      </w:pPr>
      <w:r>
        <w:t>与文化物品相关的洗钱及恐怖融资风险，核心在于利用此类资产价值高、易转移、所有权可隐匿的特性。教材指出，高价商品（如艺术品）常用于匿名转移价值</w:t>
      </w:r>
      <w:r>
        <w:rPr>
          <w:sz w:val="15"/>
          <w:vertAlign w:val="superscript"/>
        </w:rPr>
        <w:t>P18</w:t>
      </w:r>
      <w:r>
        <w:t>，其销售若难以估值则构成危险信号</w:t>
      </w:r>
      <w:r>
        <w:rPr>
          <w:sz w:val="15"/>
          <w:vertAlign w:val="superscript"/>
        </w:rPr>
        <w:t>P99</w:t>
      </w:r>
      <w:r>
        <w:t>。本题中，A项“聘请第三方艺术顾问代表”对应利用第三方名义服务隐藏真实所有人身份的风险</w:t>
      </w:r>
      <w:r>
        <w:rPr>
          <w:sz w:val="15"/>
          <w:vertAlign w:val="superscript"/>
        </w:rPr>
        <w:t>P127</w:t>
      </w:r>
      <w:r>
        <w:t>，使交易脱离本人名义、增加匿名性。B项“在社交媒体出售高价值单品”吻合电子商务中“难以估值商品销售”的风险指标</w:t>
      </w:r>
      <w:r>
        <w:rPr>
          <w:sz w:val="15"/>
          <w:vertAlign w:val="superscript"/>
        </w:rPr>
        <w:t>P99</w:t>
      </w:r>
      <w:r>
        <w:t>，非正规渠道加大追踪难度。E项“使用免税区存储设施”直接命中自由贸易区为艺术品走私提供平台这一风险指标</w:t>
      </w:r>
      <w:r>
        <w:rPr>
          <w:sz w:val="15"/>
          <w:vertAlign w:val="superscript"/>
        </w:rPr>
        <w:t>P133</w:t>
      </w:r>
      <w:r>
        <w:t>，监管薄弱便于隐匿资产。三者从不同环节（代理、销售、存储）揭示了文化物品被用于洗钱或恐怖融资的典型危险信号。</w:t>
      </w:r>
    </w:p>
    <w:p>
      <w:pPr>
        <w:spacing w:before="120" w:after="40"/>
      </w:pPr>
      <w:r>
        <w:rPr>
          <w:b/>
          <w:sz w:val="21"/>
          <w:shd w:fill="D6E4F0" w:val="clear"/>
        </w:rPr>
        <w:t>C项错误</w:t>
      </w:r>
    </w:p>
    <w:p>
      <w:pPr>
        <w:spacing w:line="360" w:lineRule="auto" w:after="40"/>
        <w:ind w:firstLine="420"/>
      </w:pPr>
      <w:r>
        <w:t>题干问的是“风险增加”的危险信号。利用专家鉴定真伪，本身是正常的谨慎交易行为，属于降低风险的尽职调查措施。在教材框架下，它缺乏作为风险信号的依据，不如A、B、E项那样直接对应教材中利用匿名代理、非正规渠道或监管漏洞的风险特征。</w:t>
      </w:r>
    </w:p>
    <w:p>
      <w:pPr>
        <w:spacing w:before="120" w:after="40"/>
      </w:pPr>
      <w:r>
        <w:rPr>
          <w:b/>
          <w:sz w:val="21"/>
          <w:shd w:fill="D6E4F0" w:val="clear"/>
        </w:rPr>
        <w:t>D项错误</w:t>
      </w:r>
    </w:p>
    <w:p>
      <w:pPr>
        <w:spacing w:line="360" w:lineRule="auto" w:after="40"/>
        <w:ind w:firstLine="420"/>
      </w:pPr>
      <w:r>
        <w:t>教材将“高价值资产估值不一致，定价偏离市场价值”</w:t>
      </w:r>
      <w:r>
        <w:rPr>
          <w:sz w:val="15"/>
          <w:vertAlign w:val="superscript"/>
        </w:rPr>
        <w:t>P129</w:t>
      </w:r>
      <w:r>
        <w:t>列为风险指标，强调异常定价的可疑性。D项描述的是支付“公平市场价格或溢价”，这更接近正常市场交易特征。在教材语境下，公平价格交易作为洗钱信号的匹配度远低于匿名代理（A）、非正规渠道（B）或利用监管薄弱的免税区（E）。</w:t>
      </w:r>
    </w:p>
    <w:p>
      <w:pPr>
        <w:spacing w:before="120" w:after="40"/>
      </w:pPr>
      <w:r>
        <w:rPr>
          <w:b/>
          <w:sz w:val="21"/>
          <w:shd w:fill="D6E4F0" w:val="clear"/>
        </w:rPr>
        <w:t>易错提醒</w:t>
      </w:r>
    </w:p>
    <w:p>
      <w:pPr>
        <w:spacing w:line="360" w:lineRule="auto" w:after="40"/>
        <w:ind w:firstLine="420"/>
      </w:pPr>
      <w:r>
        <w:t>“溢价购买”（premium prices）容易被误解为定价偏离市场价值。但教材定义的风险指标是“资产估值不一致，定价高于或低于市场价值”</w:t>
      </w:r>
      <w:r>
        <w:rPr>
          <w:sz w:val="15"/>
          <w:vertAlign w:val="superscript"/>
        </w:rPr>
        <w:t>P129</w:t>
      </w:r>
      <w:r>
        <w:t>，强调的是脱离市场基准的异常。溢价购买在拍卖中可能是正常商业行为，其本身不构成危险信号，除非该溢价与公平市场价值严重不符。</w:t>
      </w:r>
    </w:p>
    <w:p>
      <w:pPr>
        <w:spacing w:line="360" w:lineRule="auto" w:after="120"/>
      </w:pPr>
      <w:r/>
    </w:p>
    <w:p>
      <w:pPr>
        <w:spacing w:line="360" w:lineRule="auto" w:after="40"/>
      </w:pPr>
      <w:r>
        <w:t>12. Which customer actions are red flags for virtual currency peer-to-peer transactions? (Choose two.) ( )</w:t>
      </w:r>
    </w:p>
    <w:p>
      <w:pPr>
        <w:spacing w:line="360" w:lineRule="auto" w:after="20"/>
        <w:ind w:firstLine="283"/>
      </w:pPr>
      <w:r>
        <w:t>A. A customer receives funds from a popular decentralized mixer.</w:t>
      </w:r>
    </w:p>
    <w:p>
      <w:pPr>
        <w:spacing w:line="360" w:lineRule="auto" w:after="20"/>
        <w:ind w:firstLine="283"/>
      </w:pPr>
      <w:r>
        <w:t>B. A customer uses funds from their monthly income to purchase virtual currency.</w:t>
      </w:r>
    </w:p>
    <w:p>
      <w:pPr>
        <w:spacing w:line="360" w:lineRule="auto" w:after="20"/>
        <w:ind w:firstLine="283"/>
      </w:pPr>
      <w:r>
        <w:t>C. A customer makes a transaction on the blockchain that their traditional financial institution is unaware of.</w:t>
      </w:r>
    </w:p>
    <w:p>
      <w:pPr>
        <w:spacing w:line="360" w:lineRule="auto" w:after="20"/>
        <w:ind w:firstLine="283"/>
      </w:pPr>
      <w:r>
        <w:t>D. A customer receives multiple wires from different sources and uses those funds to purchase virtual currency.</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识别虚拟货币P2P交易中混币器与不明资金来源的红旗信号</w:t>
      </w:r>
    </w:p>
    <w:p>
      <w:pPr>
        <w:spacing w:before="120" w:after="40"/>
      </w:pPr>
      <w:r>
        <w:rPr>
          <w:b/>
          <w:sz w:val="21"/>
          <w:shd w:fill="D6E4F0" w:val="clear"/>
        </w:rPr>
        <w:t>核心解析</w:t>
      </w:r>
    </w:p>
    <w:p>
      <w:pPr>
        <w:spacing w:line="360" w:lineRule="auto" w:after="40"/>
        <w:ind w:firstLine="420"/>
      </w:pPr>
      <w:r>
        <w:t>加密资产服务提供商应将与混合器相关的交易视为高风险，并采取适当尽职调查措施</w:t>
      </w:r>
      <w:r>
        <w:rPr>
          <w:sz w:val="15"/>
          <w:vertAlign w:val="superscript"/>
        </w:rPr>
        <w:t>P115</w:t>
      </w:r>
      <w:r>
        <w:t>；涉及来源不明或可疑资金的交易是洗钱红旗信号</w:t>
      </w:r>
      <w:r>
        <w:rPr>
          <w:sz w:val="15"/>
          <w:vertAlign w:val="superscript"/>
        </w:rPr>
        <w:t>P128</w:t>
      </w:r>
      <w:r>
        <w:t>。选项A中客户从去中心化混币器接收资金，直接命中教材明确要求视作高风险的混币器交易；选项D中客户从不同来源收到多笔电汇后立即购买虚拟货币，资金来自不同源头且缺乏合理解释，符合“来源不明或可疑资金”这一红旗特征，因此两者均为危险信号。</w:t>
      </w:r>
    </w:p>
    <w:p>
      <w:pPr>
        <w:spacing w:before="120" w:after="40"/>
      </w:pPr>
      <w:r>
        <w:rPr>
          <w:b/>
          <w:sz w:val="21"/>
          <w:shd w:fill="D6E4F0" w:val="clear"/>
        </w:rPr>
        <w:t>教材原句</w:t>
      </w:r>
    </w:p>
    <w:p>
      <w:pPr>
        <w:spacing w:line="360" w:lineRule="auto" w:after="40"/>
        <w:ind w:firstLine="420"/>
      </w:pPr>
      <w:r>
        <w:t>"Transactions which involve funds from unknown or suspicious sources"</w:t>
      </w:r>
    </w:p>
    <w:p>
      <w:pPr>
        <w:spacing w:before="120" w:after="40"/>
      </w:pPr>
      <w:r>
        <w:rPr>
          <w:b/>
          <w:sz w:val="21"/>
          <w:shd w:fill="D6E4F0" w:val="clear"/>
        </w:rPr>
        <w:t>B项错误</w:t>
      </w:r>
    </w:p>
    <w:p>
      <w:pPr>
        <w:spacing w:line="360" w:lineRule="auto" w:after="40"/>
        <w:ind w:firstLine="420"/>
      </w:pPr>
      <w:r>
        <w:t>用每月收入购买虚拟货币属于资金来源可解释、与客户已知财富匹配的常规行为，教材未将其列为风险指标，因此相比于明确涉及混币器或不明资金的行为，它更不构成危险信号。</w:t>
      </w:r>
    </w:p>
    <w:p>
      <w:pPr>
        <w:spacing w:before="120" w:after="40"/>
      </w:pPr>
      <w:r>
        <w:rPr>
          <w:b/>
          <w:sz w:val="21"/>
          <w:shd w:fill="D6E4F0" w:val="clear"/>
        </w:rPr>
        <w:t>C项错误</w:t>
      </w:r>
    </w:p>
    <w:p>
      <w:pPr>
        <w:spacing w:line="360" w:lineRule="auto" w:after="40"/>
        <w:ind w:firstLine="420"/>
      </w:pPr>
      <w:r>
        <w:t>区块链去中心化的特点决定了交易不一定经过传统金融机构，机构不知情是技术常态而非异常；教材强调的危险信号聚焦于混币器使用和资金来源的合法性，而非机构是否知情，因此C项匹配度远低于A和D。</w:t>
      </w:r>
    </w:p>
    <w:p>
      <w:pPr>
        <w:spacing w:line="360" w:lineRule="auto" w:after="120"/>
      </w:pPr>
      <w:r/>
    </w:p>
    <w:p>
      <w:pPr>
        <w:spacing w:line="360" w:lineRule="auto" w:after="40"/>
      </w:pPr>
      <w:r>
        <w:t>13. Financial crime risk related to the use of hawalas can stem from: (Choose two.) ( )</w:t>
      </w:r>
    </w:p>
    <w:p>
      <w:pPr>
        <w:spacing w:line="360" w:lineRule="auto" w:after="20"/>
        <w:ind w:firstLine="283"/>
      </w:pPr>
      <w:r>
        <w:t>A. Remote verification of identity by third-party program managers</w:t>
      </w:r>
    </w:p>
    <w:p>
      <w:pPr>
        <w:spacing w:line="360" w:lineRule="auto" w:after="20"/>
        <w:ind w:firstLine="283"/>
      </w:pPr>
      <w:r>
        <w:t>B. Heavy usage by senior political figures</w:t>
      </w:r>
    </w:p>
    <w:p>
      <w:pPr>
        <w:spacing w:line="360" w:lineRule="auto" w:after="20"/>
        <w:ind w:firstLine="283"/>
      </w:pPr>
      <w:r>
        <w:t>C. Heightened risks of returned transactions</w:t>
      </w:r>
    </w:p>
    <w:p>
      <w:pPr>
        <w:spacing w:line="360" w:lineRule="auto" w:after="20"/>
        <w:ind w:firstLine="283"/>
      </w:pPr>
      <w:r>
        <w:t>D. Informal networks used for cross-border transactions outside of the formal banking system</w:t>
      </w:r>
    </w:p>
    <w:p>
      <w:pPr>
        <w:spacing w:line="360" w:lineRule="auto" w:after="20"/>
        <w:ind w:firstLine="283"/>
      </w:pPr>
      <w:r>
        <w:t>E. Difficulty in tracking the originator, recipient, and source of transactions</w:t>
      </w:r>
    </w:p>
    <w:p>
      <w:pPr>
        <w:spacing w:line="360" w:lineRule="auto" w:after="40"/>
      </w:pPr>
      <w:r>
        <w:t>答案：D、E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识别哈瓦拉作为替代性汇款系统的定义与固有特征</w:t>
      </w:r>
    </w:p>
    <w:p>
      <w:pPr>
        <w:spacing w:before="120" w:after="40"/>
      </w:pPr>
      <w:r>
        <w:rPr>
          <w:b/>
          <w:sz w:val="21"/>
          <w:shd w:fill="D6E4F0" w:val="clear"/>
        </w:rPr>
        <w:t>核心解析</w:t>
      </w:r>
    </w:p>
    <w:p>
      <w:pPr>
        <w:spacing w:line="360" w:lineRule="auto" w:after="40"/>
        <w:ind w:firstLine="420"/>
      </w:pPr>
      <w:r>
        <w:t>哈瓦拉是最知名的替代性汇款系统形式，指在正规银行体系之外进行国际价值转移的非正式网络</w:t>
      </w:r>
      <w:r>
        <w:rPr>
          <w:sz w:val="15"/>
          <w:vertAlign w:val="superscript"/>
        </w:rPr>
        <w:t>P133</w:t>
      </w:r>
      <w:r>
        <w:t>。该系统基于信任和债务安排，不依赖实际资金跨境流动，因此游离于法定报告要求之外。由此可推断，其金融犯罪风险直接源于两个固有特征：一是“用于跨境交易的非正式网络，这些交易游离于正规银行体系之外”，逃避了常规的监控和报告机制；二是“难以追踪交易的发起方、接收方以及来源”，因为交易通过经纪人的帐本和债务抵销完成，不留存标准银行记录，且教材指出哈瓦拉被不希望留下数字记录的个人利用</w:t>
      </w:r>
      <w:r>
        <w:rPr>
          <w:sz w:val="15"/>
          <w:vertAlign w:val="superscript"/>
        </w:rPr>
        <w:t>P134</w:t>
      </w:r>
      <w:r>
        <w:t>，并在实际案例中显示其通过非正式网络掩盖资金踪迹</w:t>
      </w:r>
      <w:r>
        <w:rPr>
          <w:sz w:val="15"/>
          <w:vertAlign w:val="superscript"/>
        </w:rPr>
        <w:t>P39</w:t>
      </w:r>
      <w:r>
        <w:t>。</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A项错误</w:t>
      </w:r>
    </w:p>
    <w:p>
      <w:pPr>
        <w:spacing w:line="360" w:lineRule="auto" w:after="40"/>
        <w:ind w:firstLine="420"/>
      </w:pPr>
      <w:r>
        <w:t>远程身份验证属于数字开户或监管科技的内容</w:t>
      </w:r>
      <w:r>
        <w:rPr>
          <w:sz w:val="15"/>
          <w:vertAlign w:val="superscript"/>
        </w:rPr>
        <w:t>P372</w:t>
      </w:r>
      <w:r>
        <w:t>，题干中的哈瓦拉是非正式汇款系统，不涉及正规金融机构的远程验证流程，题干更直接匹配哈瓦拉本身的结构性特征而非技术控制手段。</w:t>
      </w:r>
    </w:p>
    <w:p>
      <w:pPr>
        <w:spacing w:before="120" w:after="40"/>
      </w:pPr>
      <w:r>
        <w:rPr>
          <w:b/>
          <w:sz w:val="21"/>
          <w:shd w:fill="D6E4F0" w:val="clear"/>
        </w:rPr>
        <w:t>B项错误</w:t>
      </w:r>
    </w:p>
    <w:p>
      <w:pPr>
        <w:spacing w:line="360" w:lineRule="auto" w:after="40"/>
        <w:ind w:firstLine="420"/>
      </w:pPr>
      <w:r>
        <w:t>虽然政治敏感人物可能使用哈瓦拉，但教材定义哈瓦拉的风险时聚焦于其“游离于正规银行体系之外”和“不希望留下数字记录”的匿名性，而非特定使用者政治身份。正确项D、E直接来自哈瓦拉的系统机制，比“大量使用”这一使用者特征更具定义上的匹配度。</w:t>
      </w:r>
    </w:p>
    <w:p>
      <w:pPr>
        <w:spacing w:before="120" w:after="40"/>
      </w:pPr>
      <w:r>
        <w:rPr>
          <w:b/>
          <w:sz w:val="21"/>
          <w:shd w:fill="D6E4F0" w:val="clear"/>
        </w:rPr>
        <w:t>C项错误</w:t>
      </w:r>
    </w:p>
    <w:p>
      <w:pPr>
        <w:spacing w:line="360" w:lineRule="auto" w:after="40"/>
        <w:ind w:firstLine="420"/>
      </w:pPr>
      <w:r>
        <w:t>交易被退回的风险在教材中未见与哈瓦拉直接关联，哈瓦拉通过抵销和债务安排完成价值转移，通常不涉及资金被退回的标准流程。D、E从系统结构和追踪困难两个维度直接切中哈瓦拉的本质风险。</w:t>
      </w:r>
    </w:p>
    <w:p>
      <w:pPr>
        <w:spacing w:before="120" w:after="40"/>
      </w:pPr>
      <w:r>
        <w:rPr>
          <w:b/>
          <w:sz w:val="21"/>
          <w:shd w:fill="D6E4F0" w:val="clear"/>
        </w:rPr>
        <w:t>易错提醒</w:t>
      </w:r>
    </w:p>
    <w:p>
      <w:pPr>
        <w:spacing w:line="360" w:lineRule="auto" w:after="40"/>
        <w:ind w:firstLine="420"/>
      </w:pPr>
      <w:r>
        <w:t>容易误以为“大量使用”本身就是风险，但教材对哈瓦拉风险的界定立足于其非正式、游离于银行体系的网络结构以及由此产生的匿名性，而非使用者身份。区分标准：看选项描述的是系统自身的固有属性（非正式、难追踪），还是外部使用者的特征（如政治身份）。</w:t>
      </w:r>
    </w:p>
    <w:p>
      <w:pPr>
        <w:spacing w:line="360" w:lineRule="auto" w:after="120"/>
      </w:pPr>
      <w:r/>
    </w:p>
    <w:p>
      <w:pPr>
        <w:spacing w:line="360" w:lineRule="auto" w:after="40"/>
      </w:pPr>
      <w:r>
        <w:t>14. Financial crime risk related to the use of "hawalas" can stem from: (Select Two.) ( )</w:t>
      </w:r>
    </w:p>
    <w:p>
      <w:pPr>
        <w:spacing w:line="360" w:lineRule="auto" w:after="20"/>
        <w:ind w:firstLine="283"/>
      </w:pPr>
      <w:r>
        <w:t>A. Difficulty in tracking the originator, recipient, and source of transactions</w:t>
      </w:r>
    </w:p>
    <w:p>
      <w:pPr>
        <w:spacing w:line="360" w:lineRule="auto" w:after="20"/>
        <w:ind w:firstLine="283"/>
      </w:pPr>
      <w:r>
        <w:t>B. Remote verification of identity by third-party program managers</w:t>
      </w:r>
    </w:p>
    <w:p>
      <w:pPr>
        <w:spacing w:line="360" w:lineRule="auto" w:after="20"/>
        <w:ind w:firstLine="283"/>
      </w:pPr>
      <w:r>
        <w:t>C. Heavy usage by senior political figures</w:t>
      </w:r>
    </w:p>
    <w:p>
      <w:pPr>
        <w:spacing w:line="360" w:lineRule="auto" w:after="20"/>
        <w:ind w:firstLine="283"/>
      </w:pPr>
      <w:r>
        <w:t>D. Informal networks used for cross-border transactions outside of the formal banking system</w:t>
      </w:r>
    </w:p>
    <w:p>
      <w:pPr>
        <w:spacing w:line="360" w:lineRule="auto" w:after="20"/>
        <w:ind w:firstLine="283"/>
      </w:pPr>
      <w:r>
        <w:t>E. Heightened risks of returned transactions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识别哈瓦拉因非正规性和匿名性带来的固有金融犯罪风险</w:t>
      </w:r>
    </w:p>
    <w:p>
      <w:pPr>
        <w:spacing w:before="120" w:after="40"/>
      </w:pPr>
      <w:r>
        <w:rPr>
          <w:b/>
          <w:sz w:val="21"/>
          <w:shd w:fill="D6E4F0" w:val="clear"/>
        </w:rPr>
        <w:t>核心解析</w:t>
      </w:r>
    </w:p>
    <w:p>
      <w:pPr>
        <w:spacing w:line="360" w:lineRule="auto" w:after="40"/>
        <w:ind w:firstLine="420"/>
      </w:pPr>
      <w:r>
        <w:t>哈瓦拉是替代性汇款系统（ARS）的最知名形式，指在正规银行体系之外进行跨境价值转移的非正式系统</w:t>
      </w:r>
      <w:r>
        <w:rPr>
          <w:sz w:val="15"/>
          <w:vertAlign w:val="superscript"/>
        </w:rPr>
        <w:t>P133</w:t>
      </w:r>
      <w:r>
        <w:t>。其运行依赖信任和债务安排，不产生数字记录，由此带来匿名性和可追踪性缺失。教材案例中，犯罪分子利用哈瓦拉经纪人进行跨境转账，通过非正规网络掩盖资金踪迹</w:t>
      </w:r>
      <w:r>
        <w:rPr>
          <w:sz w:val="15"/>
          <w:vertAlign w:val="superscript"/>
        </w:rPr>
        <w:t>P39</w:t>
      </w:r>
      <w:r>
        <w:t>；恐怖融资者也依赖哈瓦拉的匿名性向高风险地区转移资金</w:t>
      </w:r>
      <w:r>
        <w:rPr>
          <w:sz w:val="15"/>
          <w:vertAlign w:val="superscript"/>
        </w:rPr>
        <w:t>P134</w:t>
      </w:r>
      <w:r>
        <w:t>。选项A“难以追踪交易的发起方、接收方和资金来源”直接对应哈瓦拉不可追踪的特性；选项D“用于跨境交易的非正式网络，这些交易游离于正规银行体系之外”则对应哈瓦拉的定义本身——非正式、在正规银行体系外运行。因此，A和D是使用哈瓦拉最直接的金融犯罪风险来源。</w:t>
      </w:r>
    </w:p>
    <w:p>
      <w:pPr>
        <w:spacing w:before="120" w:after="40"/>
      </w:pPr>
      <w:r>
        <w:rPr>
          <w:b/>
          <w:sz w:val="21"/>
          <w:shd w:fill="D6E4F0" w:val="clear"/>
        </w:rPr>
        <w:t>教材原句</w:t>
      </w:r>
    </w:p>
    <w:p>
      <w:pPr>
        <w:spacing w:line="360" w:lineRule="auto" w:after="40"/>
        <w:ind w:firstLine="420"/>
      </w:pPr>
      <w:r>
        <w:t>"The best-known form of ARS is a hawala, an informal system involving the international transfer of value outside the legitimate banking system."</w:t>
      </w:r>
    </w:p>
    <w:p>
      <w:pPr>
        <w:spacing w:before="120" w:after="40"/>
      </w:pPr>
      <w:r>
        <w:rPr>
          <w:b/>
          <w:sz w:val="21"/>
          <w:shd w:fill="D6E4F0" w:val="clear"/>
        </w:rPr>
        <w:t>B项错误</w:t>
      </w:r>
    </w:p>
    <w:p>
      <w:pPr>
        <w:spacing w:line="360" w:lineRule="auto" w:after="40"/>
        <w:ind w:firstLine="420"/>
      </w:pPr>
      <w:r>
        <w:t>远程身份验证是金融机构在电子了解你的客户（eKYC）流程中采用的技术手段</w:t>
      </w:r>
      <w:r>
        <w:rPr>
          <w:sz w:val="15"/>
          <w:vertAlign w:val="superscript"/>
        </w:rPr>
        <w:t>P405</w:t>
      </w:r>
      <w:r>
        <w:t>，其风险多见于数字开户和合成身份场景，并不属于哈瓦拉本身固有的风险。教材对哈瓦拉风险的讨论集中在非正规性和难以追踪上，题干更支持A和D而非B。</w:t>
      </w:r>
    </w:p>
    <w:p>
      <w:pPr>
        <w:spacing w:before="120" w:after="40"/>
      </w:pPr>
      <w:r>
        <w:rPr>
          <w:b/>
          <w:sz w:val="21"/>
          <w:shd w:fill="D6E4F0" w:val="clear"/>
        </w:rPr>
        <w:t>C项错误</w:t>
      </w:r>
    </w:p>
    <w:p>
      <w:pPr>
        <w:spacing w:line="360" w:lineRule="auto" w:after="40"/>
        <w:ind w:firstLine="420"/>
      </w:pPr>
      <w:r>
        <w:t>教材列举哈瓦拉的常见用户群体为边缘化社区、不愿留下数字记录的个人以及恐怖融资者</w:t>
      </w:r>
      <w:r>
        <w:rPr>
          <w:sz w:val="15"/>
          <w:vertAlign w:val="superscript"/>
        </w:rPr>
        <w:t>P134</w:t>
      </w:r>
      <w:r>
        <w:t>，并未突出高级政治人物的频繁使用是哈瓦拉的典型风险。高级政治人物（PEP）风险更多与腐败、贿赂和利用名义人掩盖资产相关</w:t>
      </w:r>
      <w:r>
        <w:rPr>
          <w:sz w:val="15"/>
          <w:vertAlign w:val="superscript"/>
        </w:rPr>
        <w:t>P58</w:t>
      </w:r>
      <w:r>
        <w:t>，与哈瓦拉匿名性的直接匹配度不如选项A和D。</w:t>
      </w:r>
    </w:p>
    <w:p>
      <w:pPr>
        <w:spacing w:before="120" w:after="40"/>
      </w:pPr>
      <w:r>
        <w:rPr>
          <w:b/>
          <w:sz w:val="21"/>
          <w:shd w:fill="D6E4F0" w:val="clear"/>
        </w:rPr>
        <w:t>E项错误</w:t>
      </w:r>
    </w:p>
    <w:p>
      <w:pPr>
        <w:spacing w:line="360" w:lineRule="auto" w:after="40"/>
        <w:ind w:firstLine="420"/>
      </w:pPr>
      <w:r>
        <w:t>哈瓦拉交易基于信任和债务安排以等值货币跨境转移，而非传统汇款渠道，因此不被退回是其特征而非风险。教材未提及哈瓦拉存在交易退回风险，该选项在题干条件下缺乏证据支持。</w:t>
      </w:r>
    </w:p>
    <w:p>
      <w:pPr>
        <w:spacing w:before="120" w:after="40"/>
      </w:pPr>
      <w:r>
        <w:rPr>
          <w:b/>
          <w:sz w:val="21"/>
          <w:shd w:fill="D6E4F0" w:val="clear"/>
        </w:rPr>
        <w:t>易错提醒</w:t>
      </w:r>
    </w:p>
    <w:p>
      <w:pPr>
        <w:spacing w:line="360" w:lineRule="auto" w:after="40"/>
        <w:ind w:firstLine="420"/>
      </w:pPr>
      <w:r>
        <w:t>注意区分哈瓦拉与受监管的货币服务企业（MSB）。教材明确指出，MSB受银行体系监管，而哈瓦拉是非正式且基本不受监管的</w:t>
      </w:r>
      <w:r>
        <w:rPr>
          <w:sz w:val="15"/>
          <w:vertAlign w:val="superscript"/>
        </w:rPr>
        <w:t>P94</w:t>
      </w:r>
      <w:r>
        <w:t>。远程身份验证、交易退回等技术性和操作性的风险更常见于受监管的支付体系，而非哈瓦拉这类非正规网络。</w:t>
      </w:r>
    </w:p>
    <w:p>
      <w:pPr>
        <w:spacing w:line="360" w:lineRule="auto" w:after="120"/>
      </w:pPr>
      <w:r/>
    </w:p>
    <w:p>
      <w:pPr>
        <w:spacing w:line="360" w:lineRule="auto" w:after="40"/>
      </w:pPr>
      <w:r>
        <w:t>15. Which of the following conditions contribute to a politically exposed person (PEP) posing greater risk than a typical high-risk bank customer? (Select two.) ( )</w:t>
      </w:r>
    </w:p>
    <w:p>
      <w:pPr>
        <w:spacing w:line="360" w:lineRule="auto" w:after="20"/>
        <w:ind w:firstLine="283"/>
      </w:pPr>
      <w:r>
        <w:t>A. The family members and close associates of PEPs may be involved in illicit activities</w:t>
      </w:r>
    </w:p>
    <w:p>
      <w:pPr>
        <w:spacing w:line="360" w:lineRule="auto" w:after="20"/>
        <w:ind w:firstLine="283"/>
      </w:pPr>
      <w:r>
        <w:t>B. PEPs are granted unlimited credit and financial immunity under international banking regulations</w:t>
      </w:r>
    </w:p>
    <w:p>
      <w:pPr>
        <w:spacing w:line="360" w:lineRule="auto" w:after="20"/>
        <w:ind w:firstLine="283"/>
      </w:pPr>
      <w:r>
        <w:t>C. PEPs may exploit embassy activities to conceal bribery and corruption transactions</w:t>
      </w:r>
    </w:p>
    <w:p>
      <w:pPr>
        <w:spacing w:line="360" w:lineRule="auto" w:after="20"/>
        <w:ind w:firstLine="283"/>
      </w:pPr>
      <w:r>
        <w:t>D. PEPs can have illegitimate fund sources but are legally protected from having their accounts closed for activities outside the bank's risk tolerance</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 PEP 风险来源：家庭成员/关联人卷入与使馆外交掩护</w:t>
      </w:r>
    </w:p>
    <w:p>
      <w:pPr>
        <w:spacing w:before="120" w:after="40"/>
      </w:pPr>
      <w:r>
        <w:rPr>
          <w:b/>
          <w:sz w:val="21"/>
          <w:shd w:fill="D6E4F0" w:val="clear"/>
        </w:rPr>
        <w:t>核心解析</w:t>
      </w:r>
    </w:p>
    <w:p>
      <w:pPr>
        <w:spacing w:line="360" w:lineRule="auto" w:after="40"/>
        <w:ind w:firstLine="420"/>
      </w:pPr>
      <w:r>
        <w:t>政治敏感人物（PEP）指担任显要公职的个人及其直系亲属或密切关联人，可能面临更高的贿赂和腐败风险</w:t>
      </w:r>
      <w:r>
        <w:rPr>
          <w:sz w:val="15"/>
          <w:vertAlign w:val="superscript"/>
        </w:rPr>
        <w:t>P137</w:t>
      </w:r>
      <w:r>
        <w:t>。部分司法管辖区将 PEP 分类扩展至家庭成员和密切关联人，因其可能间接参与金融犯罪</w:t>
      </w:r>
      <w:r>
        <w:rPr>
          <w:sz w:val="15"/>
          <w:vertAlign w:val="superscript"/>
        </w:rPr>
        <w:t>P320</w:t>
      </w:r>
      <w:r>
        <w:t>。同时，大使馆和外交使团享有特权和豁免，可被用于洗钱——外交身份能屏蔽审查，使非法资金在外交活动伪装下流动</w:t>
      </w:r>
      <w:r>
        <w:rPr>
          <w:sz w:val="15"/>
          <w:vertAlign w:val="superscript"/>
        </w:rPr>
        <w:t>P82</w:t>
      </w:r>
      <w:r>
        <w:t>。题干问 PEP 比一般高风险客户风险更大的条件。选项 A 直接对应 PEP 定义涵盖家庭成员和密切关联人，以及他们潜在的非法活动参与，风险超出一般仅因洗钱记录入列的高风险客户。选项 C 对应使馆可以通过外交管道掩盖贿赂和腐败交易，这一风险源是 PEP 身份+使馆角色特有的，比普通高风险客户涉及的结构性洗钱更隐蔽、更难调查。因此 A、C 与教材对 PEP 特殊风险渠道的陈述高度吻合。</w:t>
      </w:r>
    </w:p>
    <w:p>
      <w:pPr>
        <w:spacing w:before="120" w:after="40"/>
      </w:pPr>
      <w:r>
        <w:rPr>
          <w:b/>
          <w:sz w:val="21"/>
          <w:shd w:fill="D6E4F0" w:val="clear"/>
        </w:rPr>
        <w:t>教材原句</w:t>
      </w:r>
    </w:p>
    <w:p>
      <w:pPr>
        <w:spacing w:line="360" w:lineRule="auto" w:after="40"/>
        <w:ind w:firstLine="420"/>
      </w:pPr>
      <w:r>
        <w:t>"A PEP is an individual in a prominent political function, or their immediate family or close associates, who could be at higher risk for involvement in bribery and corruption."</w:t>
      </w:r>
    </w:p>
    <w:p>
      <w:pPr>
        <w:spacing w:before="120" w:after="40"/>
      </w:pPr>
      <w:r>
        <w:rPr>
          <w:b/>
          <w:sz w:val="21"/>
          <w:shd w:fill="D6E4F0" w:val="clear"/>
        </w:rPr>
        <w:t>B项错误</w:t>
      </w:r>
    </w:p>
    <w:p>
      <w:pPr>
        <w:spacing w:line="360" w:lineRule="auto" w:after="40"/>
        <w:ind w:firstLine="420"/>
      </w:pPr>
      <w:r>
        <w:t>教材规定对 PEP 等高风险客户应实施强化尽职调查</w:t>
      </w:r>
      <w:r>
        <w:rPr>
          <w:sz w:val="15"/>
          <w:vertAlign w:val="superscript"/>
        </w:rPr>
        <w:t>P201</w:t>
      </w:r>
      <w:r>
        <w:t>，而非授予无限制信贷和金融豁免。B 项描述与国际反洗钱监管框架相反，题干缺乏支持该说法的信息，相较而言 A 和 C 更匹配教材对 PEP 风险的定义。</w:t>
      </w:r>
    </w:p>
    <w:p>
      <w:pPr>
        <w:spacing w:before="120" w:after="40"/>
      </w:pPr>
      <w:r>
        <w:rPr>
          <w:b/>
          <w:sz w:val="21"/>
          <w:shd w:fill="D6E4F0" w:val="clear"/>
        </w:rPr>
        <w:t>D项错误</w:t>
      </w:r>
    </w:p>
    <w:p>
      <w:pPr>
        <w:spacing w:line="360" w:lineRule="auto" w:after="40"/>
        <w:ind w:firstLine="420"/>
      </w:pPr>
      <w:r>
        <w:t>教材要求机构根据风险偏好调整监控并升级处理</w:t>
      </w:r>
      <w:r>
        <w:rPr>
          <w:sz w:val="15"/>
          <w:vertAlign w:val="superscript"/>
        </w:rPr>
        <w:t>P58</w:t>
      </w:r>
      <w:r>
        <w:t>，并未声明 PEP 的账户受法律保护不得关闭。在某些司法管辖区关系难以终止</w:t>
      </w:r>
      <w:r>
        <w:rPr>
          <w:sz w:val="15"/>
          <w:vertAlign w:val="superscript"/>
        </w:rPr>
        <w:t>P357</w:t>
      </w:r>
      <w:r>
        <w:t>，但这并非 PEP 特有，也非法律豁免。相比之下，A 和 C 直接对应教材总结的 PEP 特有风险渠道，更贴合题干所问的“导致更大风险”的条件。</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