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 (EN)</w:t>
      </w:r>
    </w:p>
    <w:p>
      <w:pPr>
        <w:spacing w:line="360" w:lineRule="auto" w:after="160"/>
      </w:pPr>
      <w:r>
        <w:t>一、单项选择题</w:t>
      </w:r>
    </w:p>
    <w:p>
      <w:pPr>
        <w:spacing w:line="360" w:lineRule="auto" w:after="40"/>
      </w:pPr>
      <w:r>
        <w:t>1. Which of the following describes a role of the Financial Action Task Force (FATF)? ( )</w:t>
      </w:r>
    </w:p>
    <w:p>
      <w:pPr>
        <w:spacing w:line="360" w:lineRule="auto" w:after="20"/>
        <w:ind w:firstLine="283"/>
      </w:pPr>
      <w:r>
        <w:t>A. Oversight of the Financial Intelligence Units in FATF member countries</w:t>
      </w:r>
    </w:p>
    <w:p>
      <w:pPr>
        <w:spacing w:line="360" w:lineRule="auto" w:after="20"/>
        <w:ind w:firstLine="283"/>
      </w:pPr>
      <w:r>
        <w:t>B. Providing a unique platform for information exchange regarding anti-money laundering efforts</w:t>
      </w:r>
    </w:p>
    <w:p>
      <w:pPr>
        <w:spacing w:line="360" w:lineRule="auto" w:after="20"/>
        <w:ind w:firstLine="283"/>
      </w:pPr>
      <w:r>
        <w:t>C. Regulation of financial markets through directives and executive orders</w:t>
      </w:r>
    </w:p>
    <w:p>
      <w:pPr>
        <w:spacing w:line="360" w:lineRule="auto" w:after="20"/>
        <w:ind w:firstLine="283"/>
      </w:pPr>
      <w:r>
        <w:t>D. Enhancement of international cooperation to foster anti-money laundering efforts via recommendations and guidance</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区分FATF协调性建议性角色与直接监管性角色</w:t>
      </w:r>
    </w:p>
    <w:p>
      <w:pPr>
        <w:spacing w:before="120" w:after="40"/>
      </w:pPr>
      <w:r>
        <w:rPr>
          <w:b/>
          <w:sz w:val="21"/>
          <w:shd w:fill="D6E4F0" w:val="clear"/>
        </w:rPr>
        <w:t>核心解析</w:t>
      </w:r>
    </w:p>
    <w:p>
      <w:pPr>
        <w:spacing w:line="360" w:lineRule="auto" w:after="40"/>
        <w:ind w:firstLine="420"/>
      </w:pPr>
      <w:r>
        <w:t>FATF于1989年由G7成立，作为一个国际组织旨在协调打击洗钱的努力</w:t>
      </w:r>
      <w:r>
        <w:rPr>
          <w:sz w:val="15"/>
          <w:vertAlign w:val="superscript"/>
        </w:rPr>
        <w:t>P144</w:t>
      </w:r>
      <w:r>
        <w:t>。成立一年内，FATF发布了最初的40项建议，为全球反洗钱工作提供指导和全面的行动计划</w:t>
      </w:r>
      <w:r>
        <w:rPr>
          <w:sz w:val="15"/>
          <w:vertAlign w:val="superscript"/>
        </w:rPr>
        <w:t>P144</w:t>
      </w:r>
      <w:r>
        <w:t>，这些建议是FATF在打击金融犯罪中提供指导和协调的最重要资源之一</w:t>
      </w:r>
      <w:r>
        <w:rPr>
          <w:sz w:val="15"/>
          <w:vertAlign w:val="superscript"/>
        </w:rPr>
        <w:t>P146</w:t>
      </w:r>
      <w:r>
        <w:t>。由此可推断，FATF的核心角色是以发布建议和提供指导为主要手段，促进各国在反洗钱领域的国际合作，而非直接监督金融机构、FIU或金融市场。D选项“加强国际合作，通过建议和指导促进反洗钱工作”直接对应了FATF作为国际组织的协调职能及其以建议和指导为核心工具的工作方式。</w:t>
      </w:r>
    </w:p>
    <w:p>
      <w:pPr>
        <w:spacing w:before="120" w:after="40"/>
      </w:pPr>
      <w:r>
        <w:rPr>
          <w:b/>
          <w:sz w:val="21"/>
          <w:shd w:fill="D6E4F0" w:val="clear"/>
        </w:rPr>
        <w:t>教材原句</w:t>
      </w:r>
    </w:p>
    <w:p>
      <w:pPr>
        <w:spacing w:line="360" w:lineRule="auto" w:after="40"/>
        <w:ind w:firstLine="420"/>
      </w:pPr>
      <w:r>
        <w:t>"The G-7 established the Financial Action Task Force (FATF) in 1989 as an international organization to coordinate efforts to combat money laundering."</w:t>
      </w:r>
    </w:p>
    <w:p>
      <w:pPr>
        <w:spacing w:before="120" w:after="40"/>
      </w:pPr>
      <w:r>
        <w:rPr>
          <w:b/>
          <w:sz w:val="21"/>
          <w:shd w:fill="D6E4F0" w:val="clear"/>
        </w:rPr>
        <w:t>A项错误</w:t>
      </w:r>
    </w:p>
    <w:p>
      <w:pPr>
        <w:spacing w:line="360" w:lineRule="auto" w:after="40"/>
        <w:ind w:firstLine="420"/>
      </w:pPr>
      <w:r>
        <w:t>FATF建议要求各辖区设立FIU</w:t>
      </w:r>
      <w:r>
        <w:rPr>
          <w:sz w:val="15"/>
          <w:vertAlign w:val="superscript"/>
        </w:rPr>
        <w:t>P149</w:t>
      </w:r>
      <w:r>
        <w:t>，但FATF本身并不直接对成员国的FIU行使监督职能，对FIU的监督通常由各辖区内部的主管机关或监管机构负责。相比之下，D更直接匹配FATF通过建议和指导发挥协调作用的核心定位。</w:t>
      </w:r>
    </w:p>
    <w:p>
      <w:pPr>
        <w:spacing w:before="120" w:after="40"/>
      </w:pPr>
      <w:r>
        <w:rPr>
          <w:b/>
          <w:sz w:val="21"/>
          <w:shd w:fill="D6E4F0" w:val="clear"/>
        </w:rPr>
        <w:t>B项错误</w:t>
      </w:r>
    </w:p>
    <w:p>
      <w:pPr>
        <w:spacing w:line="360" w:lineRule="auto" w:after="40"/>
        <w:ind w:firstLine="420"/>
      </w:pPr>
      <w:r>
        <w:t>教材将FATF的核心职能界定为“协调打击洗钱的努力”</w:t>
      </w:r>
      <w:r>
        <w:rPr>
          <w:sz w:val="15"/>
          <w:vertAlign w:val="superscript"/>
        </w:rPr>
        <w:t>P144</w:t>
      </w:r>
      <w:r>
        <w:t>和“通过建议提供指导和协调”</w:t>
      </w:r>
      <w:r>
        <w:rPr>
          <w:sz w:val="15"/>
          <w:vertAlign w:val="superscript"/>
        </w:rPr>
        <w:t>P146</w:t>
      </w:r>
      <w:r>
        <w:t>，其工作范围比单纯的“信息交流平台”更广泛且更具主动性。题干条件更直接支持D中“通过建议和指导促进国际合作”的表述。</w:t>
      </w:r>
    </w:p>
    <w:p>
      <w:pPr>
        <w:spacing w:before="120" w:after="40"/>
      </w:pPr>
      <w:r>
        <w:rPr>
          <w:b/>
          <w:sz w:val="21"/>
          <w:shd w:fill="D6E4F0" w:val="clear"/>
        </w:rPr>
        <w:t>C项错误</w:t>
      </w:r>
    </w:p>
    <w:p>
      <w:pPr>
        <w:spacing w:line="360" w:lineRule="auto" w:after="40"/>
        <w:ind w:firstLine="420"/>
      </w:pPr>
      <w:r>
        <w:t>教材明确指出FATF发布的是“建议”（Recommendations）和“指导”（guidance）</w:t>
      </w:r>
      <w:r>
        <w:rPr>
          <w:sz w:val="15"/>
          <w:vertAlign w:val="superscript"/>
        </w:rPr>
        <w:t>P144，P146</w:t>
      </w:r>
      <w:r>
        <w:t>，而“指令”（directives）和“行政命令”（executive orders）是主权国家或欧盟等政治实体使用的法律工具</w:t>
      </w:r>
      <w:r>
        <w:rPr>
          <w:sz w:val="15"/>
          <w:vertAlign w:val="superscript"/>
        </w:rPr>
        <w:t>P189</w:t>
      </w:r>
      <w:r>
        <w:t>，具有法律约束力。FATF作为国际组织不具备颁布此类强制工具的权能，题干条件更吻合D中“通过建议和指导”的描述。</w:t>
      </w:r>
    </w:p>
    <w:p>
      <w:pPr>
        <w:spacing w:before="120" w:after="40"/>
      </w:pPr>
      <w:r>
        <w:rPr>
          <w:b/>
          <w:sz w:val="21"/>
          <w:shd w:fill="D6E4F0" w:val="clear"/>
        </w:rPr>
        <w:t>易错提醒</w:t>
      </w:r>
    </w:p>
    <w:p>
      <w:pPr>
        <w:spacing w:line="360" w:lineRule="auto" w:after="40"/>
        <w:ind w:firstLine="420"/>
      </w:pPr>
      <w:r>
        <w:t>FATF发布的是“建议”（Recommendations）与“指导”（guidance），是国际标准而非强制法律；而“指令”（directives）和“行政命令”（executive orders）是主权国家或超国家组织（如欧盟）使用的具有法律约束力的工具</w:t>
      </w:r>
      <w:r>
        <w:rPr>
          <w:sz w:val="15"/>
          <w:vertAlign w:val="superscript"/>
        </w:rPr>
        <w:t>P189</w:t>
      </w:r>
      <w:r>
        <w:t>。做题时看到“directives”“regulation”等措辞应高度警觉——FATF不具备颁布这些强制工具的权能，其作用始终围绕建议、指导和协调展开。</w:t>
      </w:r>
    </w:p>
    <w:p>
      <w:pPr>
        <w:spacing w:line="360" w:lineRule="auto" w:after="120"/>
      </w:pPr>
      <w:r/>
    </w:p>
    <w:p>
      <w:pPr>
        <w:spacing w:line="360" w:lineRule="auto" w:after="40"/>
      </w:pPr>
      <w:r>
        <w:t>2. The Financial Action Task Force (FATF) routinely publishes a catalogue of jurisdictions requiring enhanced monitoring, which is commonly called the: ( )</w:t>
      </w:r>
    </w:p>
    <w:p>
      <w:pPr>
        <w:spacing w:line="360" w:lineRule="auto" w:after="20"/>
        <w:ind w:firstLine="283"/>
      </w:pPr>
      <w:r>
        <w:t>A. Red notice</w:t>
      </w:r>
    </w:p>
    <w:p>
      <w:pPr>
        <w:spacing w:line="360" w:lineRule="auto" w:after="20"/>
        <w:ind w:firstLine="283"/>
      </w:pPr>
      <w:r>
        <w:t>B. Whitelist</w:t>
      </w:r>
    </w:p>
    <w:p>
      <w:pPr>
        <w:spacing w:line="360" w:lineRule="auto" w:after="20"/>
        <w:ind w:firstLine="283"/>
      </w:pPr>
      <w:r>
        <w:t>C. Yellow notice</w:t>
      </w:r>
    </w:p>
    <w:p>
      <w:pPr>
        <w:spacing w:line="360" w:lineRule="auto" w:after="20"/>
        <w:ind w:firstLine="283"/>
      </w:pPr>
      <w:r>
        <w:t>D. Gray list</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FATF 灰名单与其他国际/内部名单的功能定位</w:t>
      </w:r>
    </w:p>
    <w:p>
      <w:pPr>
        <w:spacing w:before="120" w:after="40"/>
      </w:pPr>
      <w:r>
        <w:rPr>
          <w:b/>
          <w:sz w:val="21"/>
          <w:shd w:fill="D6E4F0" w:val="clear"/>
        </w:rPr>
        <w:t>核心解析</w:t>
      </w:r>
    </w:p>
    <w:p>
      <w:pPr>
        <w:spacing w:line="360" w:lineRule="auto" w:after="40"/>
        <w:ind w:firstLine="420"/>
      </w:pPr>
      <w:r>
        <w:t>FATF 灰名单（grey list）指“在反洗钱/反恐怖融资体系存在战略缺陷但正积极与 FATF 合作整改的司法管辖区，需加强监测”</w:t>
      </w:r>
      <w:r>
        <w:rPr>
          <w:sz w:val="15"/>
          <w:vertAlign w:val="superscript"/>
        </w:rPr>
        <w:t>P156</w:t>
      </w:r>
      <w:r>
        <w:t>。FATF 将未达标辖区列入灰名单或黑名单，可能导致金融孤立</w:t>
      </w:r>
      <w:r>
        <w:rPr>
          <w:sz w:val="15"/>
          <w:vertAlign w:val="superscript"/>
        </w:rPr>
        <w:t>P144</w:t>
      </w:r>
      <w:r>
        <w:t>。题干问的是 FATF 定期发布的、需要加强监测的司法管辖区目录，“加强监测”（enhanced monitoring）正是教材中灰名单的核心标识。选项 D“灰名单/Gray list”与教材定义和题干描述完全吻合。</w:t>
      </w:r>
    </w:p>
    <w:p>
      <w:pPr>
        <w:spacing w:before="120" w:after="40"/>
      </w:pPr>
      <w:r>
        <w:rPr>
          <w:b/>
          <w:sz w:val="21"/>
          <w:shd w:fill="D6E4F0" w:val="clear"/>
        </w:rPr>
        <w:t>A项错误</w:t>
      </w:r>
    </w:p>
    <w:p>
      <w:pPr>
        <w:spacing w:line="360" w:lineRule="auto" w:after="40"/>
        <w:ind w:firstLine="420"/>
      </w:pPr>
      <w:r>
        <w:t>红色通缉令（Red notice）是国际刑警组织（INTERPOL）发布的通缉令，用于请求成员国协助逮捕被通缉人员。题干问的是 FATF 发布的司法管辖区目录，题干未提及通缉人员或国际刑警组织，两者发布主体和功能均不同，在教材框架下匹配度远低于灰名单。</w:t>
      </w:r>
    </w:p>
    <w:p>
      <w:pPr>
        <w:spacing w:before="120" w:after="40"/>
      </w:pPr>
      <w:r>
        <w:rPr>
          <w:b/>
          <w:sz w:val="21"/>
          <w:shd w:fill="D6E4F0" w:val="clear"/>
        </w:rPr>
        <w:t>B项错误</w:t>
      </w:r>
    </w:p>
    <w:p>
      <w:pPr>
        <w:spacing w:line="360" w:lineRule="auto" w:after="40"/>
        <w:ind w:firstLine="420"/>
      </w:pPr>
      <w:r>
        <w:t>教材中的白名单（whitelisting）指金融机构内部维护的客户名称列表，用于减少误报，在特定情况下不触发预警</w:t>
      </w:r>
      <w:r>
        <w:rPr>
          <w:sz w:val="15"/>
          <w:vertAlign w:val="superscript"/>
        </w:rPr>
        <w:t>P422</w:t>
      </w:r>
      <w:r>
        <w:t>。其发布主体是金融机构而非 FATF，功能是降低误报而非加强监测，与题干描述的“需要加强监测的司法管辖区目录”相比，灰名单在发布主体和功能定位上更吻合教材定义。</w:t>
      </w:r>
    </w:p>
    <w:p>
      <w:pPr>
        <w:spacing w:before="120" w:after="40"/>
      </w:pPr>
      <w:r>
        <w:rPr>
          <w:b/>
          <w:sz w:val="21"/>
          <w:shd w:fill="D6E4F0" w:val="clear"/>
        </w:rPr>
        <w:t>C项错误</w:t>
      </w:r>
    </w:p>
    <w:p>
      <w:pPr>
        <w:spacing w:line="360" w:lineRule="auto" w:after="40"/>
        <w:ind w:firstLine="420"/>
      </w:pPr>
      <w:r>
        <w:t>黄色通报（Yellow notice）是国际刑警组织发布的通报，用于寻找失踪人员或识别无法确认身份的人员。教材材料中未收录该术语的定义，题干也未提及失踪人员或身份识别要素。在教材框架下，FATF灰名单与题干“需要加强监测的司法管辖区目录”的匹配度更高。</w:t>
      </w:r>
    </w:p>
    <w:p>
      <w:pPr>
        <w:spacing w:before="120" w:after="40"/>
      </w:pPr>
      <w:r>
        <w:rPr>
          <w:b/>
          <w:sz w:val="21"/>
          <w:shd w:fill="D6E4F0" w:val="clear"/>
        </w:rPr>
        <w:t>易错提醒</w:t>
      </w:r>
    </w:p>
    <w:p>
      <w:pPr>
        <w:spacing w:line="360" w:lineRule="auto" w:after="40"/>
        <w:ind w:firstLine="420"/>
      </w:pPr>
      <w:r>
        <w:t>教材中灰名单（grey list）一词出现于两个不同语境，容易混淆：一是 FATF 发布的国际灰名单，指需加强监测的司法管辖区</w:t>
      </w:r>
      <w:r>
        <w:rPr>
          <w:sz w:val="15"/>
          <w:vertAlign w:val="superscript"/>
        </w:rPr>
        <w:t>P156</w:t>
      </w:r>
      <w:r>
        <w:t>；二是金融机构维护的内部灰名单/私人列表，指可能带来金融犯罪风险的个人和实体</w:t>
      </w:r>
      <w:r>
        <w:rPr>
          <w:sz w:val="15"/>
          <w:vertAlign w:val="superscript"/>
        </w:rPr>
        <w:t>P422</w:t>
      </w:r>
      <w:r>
        <w:t>。本题涉及的是 FATF 语境下的灰名单，判断关键在于认准题干中的发布主体“FATF”和对象“司法管辖区”。</w:t>
      </w:r>
    </w:p>
    <w:p>
      <w:pPr>
        <w:spacing w:line="360" w:lineRule="auto" w:after="120"/>
      </w:pPr>
      <w:r/>
    </w:p>
    <w:p>
      <w:pPr>
        <w:spacing w:line="360" w:lineRule="auto" w:after="40"/>
      </w:pPr>
      <w:r>
        <w:t>3. A multinational financial institution (FI) detected suspicious transactions involving shell companies across the United States, Germany, and Singapore, which appeared to be part of a money laundering scheme. The Financial Intelligence Unit (FIU) in Germany initiated a joint investigation with the U.S. Financial Crimes Enforcement Network (FinCEN) and the Singapore FIU. The investigation faced challenges due to differing legal frameworks, data privacy laws, and procedural requirements. Which approach would best enhance cooperation between regulatory authorities and law enforcement agencies across these jurisdictions to ensure a successful investigation? ( )</w:t>
      </w:r>
    </w:p>
    <w:p>
      <w:pPr>
        <w:spacing w:line="360" w:lineRule="auto" w:after="20"/>
        <w:ind w:firstLine="283"/>
      </w:pPr>
      <w:r>
        <w:t>A. Relying on each jurisdiction's existing legal frameworks and informal communication channels</w:t>
      </w:r>
    </w:p>
    <w:p>
      <w:pPr>
        <w:spacing w:line="360" w:lineRule="auto" w:after="20"/>
        <w:ind w:firstLine="283"/>
      </w:pPr>
      <w:r>
        <w:t>B. Engaging a third-party consulting firm to act as an intermediary between regulators and law enforcement agencies in different jurisdictions</w:t>
      </w:r>
    </w:p>
    <w:p>
      <w:pPr>
        <w:spacing w:line="360" w:lineRule="auto" w:after="20"/>
        <w:ind w:firstLine="283"/>
      </w:pPr>
      <w:r>
        <w:t>C. Concentrating the investigation in the jurisdiction with the strictest AML laws to simplify the process and reduce multi-jurisdictional coordination complexity</w:t>
      </w:r>
    </w:p>
    <w:p>
      <w:pPr>
        <w:spacing w:line="360" w:lineRule="auto" w:after="20"/>
        <w:ind w:firstLine="283"/>
      </w:pPr>
      <w:r>
        <w:t>D. Using existing and emerging multilateral cooperation frameworks with recognized expertise in international financial crime investigations to facilitate cross-border cooperation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跨境金融犯罪调查如何促进监管与执法合作</w:t>
      </w:r>
    </w:p>
    <w:p>
      <w:pPr>
        <w:spacing w:before="120" w:after="40"/>
      </w:pPr>
      <w:r>
        <w:rPr>
          <w:b/>
          <w:sz w:val="21"/>
          <w:shd w:fill="D6E4F0" w:val="clear"/>
        </w:rPr>
        <w:t>核心解析</w:t>
      </w:r>
    </w:p>
    <w:p>
      <w:pPr>
        <w:spacing w:line="360" w:lineRule="auto" w:after="40"/>
        <w:ind w:firstLine="420"/>
      </w:pPr>
      <w:r>
        <w:t>打击跨国金融犯罪必须依靠国际合作与信息共享</w:t>
      </w:r>
      <w:r>
        <w:rPr>
          <w:sz w:val="15"/>
          <w:vertAlign w:val="superscript"/>
        </w:rPr>
        <w:t>P233</w:t>
      </w:r>
      <w:r>
        <w:t>。FATF建议明确指出，当局应通过信息交换和联合调查促进国际合作</w:t>
      </w:r>
      <w:r>
        <w:rPr>
          <w:sz w:val="15"/>
          <w:vertAlign w:val="superscript"/>
        </w:rPr>
        <w:t>P149</w:t>
      </w:r>
      <w:r>
        <w:t>。埃格蒙特集团的核心职能包括信息共享、协作和标准制定，旨在提升司法管辖区之间的信任以安全共享敏感信息</w:t>
      </w:r>
      <w:r>
        <w:rPr>
          <w:sz w:val="15"/>
          <w:vertAlign w:val="superscript"/>
        </w:rPr>
        <w:t>P167</w:t>
      </w:r>
      <w:r>
        <w:t>。Eurojust和Europol等国际机构也在协调此类跨境活动中发挥重要作用</w:t>
      </w:r>
      <w:r>
        <w:rPr>
          <w:sz w:val="15"/>
          <w:vertAlign w:val="superscript"/>
        </w:rPr>
        <w:t>P233</w:t>
      </w:r>
      <w:r>
        <w:t>。题干中美国、德国和新加坡三国联合调查面临法律框架、数据隐私法和程序要求各不相同的挑战，恰好需要利用具备公认专业知识的现有和新兴多边合作框架来弥合差异、提供统一的协调机制，而不是仅仅依赖各自现有框架或将调查局限于单一法域。选项D直接匹配教材对国际合作实现路径的主张，因此最能促进调查成功。</w:t>
      </w:r>
    </w:p>
    <w:p>
      <w:pPr>
        <w:spacing w:before="120" w:after="40"/>
      </w:pPr>
      <w:r>
        <w:rPr>
          <w:b/>
          <w:sz w:val="21"/>
          <w:shd w:fill="D6E4F0" w:val="clear"/>
        </w:rPr>
        <w:t>教材原句</w:t>
      </w:r>
    </w:p>
    <w:p>
      <w:pPr>
        <w:spacing w:line="360" w:lineRule="auto" w:after="40"/>
        <w:ind w:firstLine="420"/>
      </w:pPr>
      <w:r>
        <w:t>"Authorities should facilitate international cooperation through information exchange and joint investigations to combat financial crimes effectively on a global scale."</w:t>
      </w:r>
    </w:p>
    <w:p>
      <w:pPr>
        <w:spacing w:before="120" w:after="40"/>
      </w:pPr>
      <w:r>
        <w:rPr>
          <w:b/>
          <w:sz w:val="21"/>
          <w:shd w:fill="D6E4F0" w:val="clear"/>
        </w:rPr>
        <w:t>A项错误</w:t>
      </w:r>
    </w:p>
    <w:p>
      <w:pPr>
        <w:spacing w:line="360" w:lineRule="auto" w:after="40"/>
        <w:ind w:firstLine="420"/>
      </w:pPr>
      <w:r>
        <w:t>题干已点明各国法律框架和程序要求不同是调查面临的挑战，仅仅依靠各司法管辖区现有的法律框架和非正式沟通渠道正是造成障碍的原因。教材指出缺乏明确的法律框架和正式沟通渠道会阻碍合作成功（P235-236），而要解决隐私和监管问题，需要建立明确的信息共享法律框架</w:t>
      </w:r>
      <w:r>
        <w:rPr>
          <w:sz w:val="15"/>
          <w:vertAlign w:val="superscript"/>
        </w:rPr>
        <w:t>P236</w:t>
      </w:r>
      <w:r>
        <w:t>。因此，选项A没有提供任何改进方案，在应对题干所述的挑战上不如D直接和有效。</w:t>
      </w:r>
    </w:p>
    <w:p>
      <w:pPr>
        <w:spacing w:before="120" w:after="40"/>
      </w:pPr>
      <w:r>
        <w:rPr>
          <w:b/>
          <w:sz w:val="21"/>
          <w:shd w:fill="D6E4F0" w:val="clear"/>
        </w:rPr>
        <w:t>B项错误</w:t>
      </w:r>
    </w:p>
    <w:p>
      <w:pPr>
        <w:spacing w:line="360" w:lineRule="auto" w:after="40"/>
        <w:ind w:firstLine="420"/>
      </w:pPr>
      <w:r>
        <w:t>教材在讨论系统和技术升级时提及聘请咨询公司可提供最佳实践和市场趋势见解</w:t>
      </w:r>
      <w:r>
        <w:rPr>
          <w:sz w:val="15"/>
          <w:vertAlign w:val="superscript"/>
        </w:rPr>
        <w:t>P384</w:t>
      </w:r>
      <w:r>
        <w:t>，但跨境执法合作的框架核心是司法协助条约、多边组织（如FATF建议、埃格蒙特集团、Eurojust等），商业咨询公司并非教材认可的解决跨境法律协调的机制。题干要求促进不同司法管辖区监管机构与执法机构之间的合作，聘请第三方调解人缺乏教材框架的直接支持，相比之下D有明确的多边合作依据。</w:t>
      </w:r>
    </w:p>
    <w:p>
      <w:pPr>
        <w:spacing w:before="120" w:after="40"/>
      </w:pPr>
      <w:r>
        <w:rPr>
          <w:b/>
          <w:sz w:val="21"/>
          <w:shd w:fill="D6E4F0" w:val="clear"/>
        </w:rPr>
        <w:t>C项错误</w:t>
      </w:r>
    </w:p>
    <w:p>
      <w:pPr>
        <w:spacing w:line="360" w:lineRule="auto" w:after="40"/>
        <w:ind w:firstLine="420"/>
      </w:pPr>
      <w:r>
        <w:t>教材明确指出金融犯罪跨越国界运作，因此国际合作对于打击跨国金融犯罪至关重要</w:t>
      </w:r>
      <w:r>
        <w:rPr>
          <w:sz w:val="15"/>
          <w:vertAlign w:val="superscript"/>
        </w:rPr>
        <w:t>P230</w:t>
      </w:r>
      <w:r>
        <w:t>，单一法域无法有效应对跨境洗钱活动。将调查集中在一国虽然能简化流程，但直接放弃了多辖区协调的必要性，与教材的核心理念背道而驰。题干要求在三个法域之间成功完成联合调查，选项C的方向与题干目标明显不符。</w:t>
      </w:r>
    </w:p>
    <w:p>
      <w:pPr>
        <w:spacing w:before="120" w:after="40"/>
      </w:pPr>
      <w:r>
        <w:rPr>
          <w:b/>
          <w:sz w:val="21"/>
          <w:shd w:fill="D6E4F0" w:val="clear"/>
        </w:rPr>
        <w:t>易错提醒</w:t>
      </w:r>
    </w:p>
    <w:p>
      <w:pPr>
        <w:spacing w:line="360" w:lineRule="auto" w:after="40"/>
        <w:ind w:firstLine="420"/>
      </w:pPr>
      <w:r>
        <w:t>教材中咨询公司主要用于辅助机构进行技术选型和系统升级</w:t>
      </w:r>
      <w:r>
        <w:rPr>
          <w:sz w:val="15"/>
          <w:vertAlign w:val="superscript"/>
        </w:rPr>
        <w:t>P384</w:t>
      </w:r>
      <w:r>
        <w:t>，而非作为跨境执法调查中监管机构之间的调解人。跨境合作应优先考虑多边合作框架和司法协助条约。</w:t>
      </w:r>
    </w:p>
    <w:p>
      <w:pPr>
        <w:spacing w:line="360" w:lineRule="auto" w:after="120"/>
      </w:pPr>
      <w:r/>
    </w:p>
    <w:p>
      <w:pPr>
        <w:spacing w:line="360" w:lineRule="auto" w:after="40"/>
      </w:pPr>
      <w:r>
        <w:t>4. During which process must a country demonstrate to the Financial Action Task Force (FATF) that it has an effective framework to protect the financial system from abuse? ( )</w:t>
      </w:r>
    </w:p>
    <w:p>
      <w:pPr>
        <w:spacing w:line="360" w:lineRule="auto" w:after="20"/>
        <w:ind w:firstLine="283"/>
      </w:pPr>
      <w:r>
        <w:t>A. Formal assessment</w:t>
      </w:r>
    </w:p>
    <w:p>
      <w:pPr>
        <w:spacing w:line="360" w:lineRule="auto" w:after="20"/>
        <w:ind w:firstLine="283"/>
      </w:pPr>
      <w:r>
        <w:t>B. Regulatory overview</w:t>
      </w:r>
    </w:p>
    <w:p>
      <w:pPr>
        <w:spacing w:line="360" w:lineRule="auto" w:after="20"/>
        <w:ind w:firstLine="283"/>
      </w:pPr>
      <w:r>
        <w:t>C. Technical analysis</w:t>
      </w:r>
    </w:p>
    <w:p>
      <w:pPr>
        <w:spacing w:line="360" w:lineRule="auto" w:after="20"/>
        <w:ind w:firstLine="283"/>
      </w:pPr>
      <w:r>
        <w:t>D. Mutual evaluation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FATF 相互评估的核心理念：成员国间证明合规</w:t>
      </w:r>
    </w:p>
    <w:p>
      <w:pPr>
        <w:spacing w:before="120" w:after="40"/>
      </w:pPr>
      <w:r>
        <w:rPr>
          <w:b/>
          <w:sz w:val="21"/>
          <w:shd w:fill="D6E4F0" w:val="clear"/>
        </w:rPr>
        <w:t>核心解析</w:t>
      </w:r>
    </w:p>
    <w:p>
      <w:pPr>
        <w:spacing w:line="360" w:lineRule="auto" w:after="40"/>
        <w:ind w:firstLine="420"/>
      </w:pPr>
      <w:r>
        <w:t>FATF 的相互评估（Mutual Evaluation）是成员国之间严格的同行评审，核心要求是司法管辖区必须向其他 FATF 成员证明其拥有有效反洗钱/反恐怖融资框架，才能被视为合规</w:t>
      </w:r>
      <w:r>
        <w:rPr>
          <w:sz w:val="15"/>
          <w:vertAlign w:val="superscript"/>
        </w:rPr>
        <w:t>P153</w:t>
      </w:r>
      <w:r>
        <w:t>。这种“证明”动作本身就是相互评估区别于其他技术流程的标志。题干问的就是“哪个过程需要向 FATF 证明自己拥有保护金融体系的有效框架”，直接对应相互评估的定义。教材进一步说明，典型互评估报告会深入描述和分析司法管辖区防止金融体系被滥用的法律与监管框架</w:t>
      </w:r>
      <w:r>
        <w:rPr>
          <w:sz w:val="15"/>
          <w:vertAlign w:val="superscript"/>
        </w:rPr>
        <w:t>P153</w:t>
      </w:r>
      <w:r>
        <w:t>，这与题干“保护金融体系免受滥用”完全吻合。</w:t>
      </w:r>
    </w:p>
    <w:p>
      <w:pPr>
        <w:spacing w:before="120" w:after="40"/>
      </w:pPr>
      <w:r>
        <w:rPr>
          <w:b/>
          <w:sz w:val="21"/>
          <w:shd w:fill="D6E4F0" w:val="clear"/>
        </w:rPr>
        <w:t>教材原句</w:t>
      </w:r>
    </w:p>
    <w:p>
      <w:pPr>
        <w:spacing w:line="360" w:lineRule="auto" w:after="40"/>
        <w:ind w:firstLine="420"/>
      </w:pPr>
      <w:r>
        <w:t>"Mutual evaluations are strict, meaning each jurisdiction is only deemed compliant when it can prove the same to other FATF members."</w:t>
      </w:r>
    </w:p>
    <w:p>
      <w:pPr>
        <w:spacing w:before="120" w:after="40"/>
      </w:pPr>
      <w:r>
        <w:rPr>
          <w:b/>
          <w:sz w:val="21"/>
          <w:shd w:fill="D6E4F0" w:val="clear"/>
        </w:rPr>
        <w:t>A项错误</w:t>
      </w:r>
    </w:p>
    <w:p>
      <w:pPr>
        <w:spacing w:line="360" w:lineRule="auto" w:after="40"/>
        <w:ind w:firstLine="420"/>
      </w:pPr>
      <w:r>
        <w:t>“正式评估”（Formal assessment）并非教材中 FATF 流程的标准术语。教材讨论评估时用的是相互评估及其内部阶段（如技术审查、现场访问），没有把“正式评估”作为一个独立机制来描述，题干条件更直接匹配相互评估而非这个泛指表述。</w:t>
      </w:r>
    </w:p>
    <w:p>
      <w:pPr>
        <w:spacing w:before="120" w:after="40"/>
      </w:pPr>
      <w:r>
        <w:rPr>
          <w:b/>
          <w:sz w:val="21"/>
          <w:shd w:fill="D6E4F0" w:val="clear"/>
        </w:rPr>
        <w:t>B项错误</w:t>
      </w:r>
    </w:p>
    <w:p>
      <w:pPr>
        <w:spacing w:line="360" w:lineRule="auto" w:after="40"/>
        <w:ind w:firstLine="420"/>
      </w:pPr>
      <w:r>
        <w:t>“监管概述”（Regulatory overview）在教材中出现于模块介绍，指对全球金融犯罪防控规则的高层次概览</w:t>
      </w:r>
      <w:r>
        <w:rPr>
          <w:sz w:val="15"/>
          <w:vertAlign w:val="superscript"/>
        </w:rPr>
        <w:t>P177</w:t>
      </w:r>
      <w:r>
        <w:t>，属于课程内容描述而非 FATF 要求国家证明自身的流程。题干要求的“向 FATF 证明有效框架”更直接指向相互评估，而非这种教学性概述。</w:t>
      </w:r>
    </w:p>
    <w:p>
      <w:pPr>
        <w:spacing w:before="120" w:after="40"/>
      </w:pPr>
      <w:r>
        <w:rPr>
          <w:b/>
          <w:sz w:val="21"/>
          <w:shd w:fill="D6E4F0" w:val="clear"/>
        </w:rPr>
        <w:t>C项错误</w:t>
      </w:r>
    </w:p>
    <w:p>
      <w:pPr>
        <w:spacing w:line="360" w:lineRule="auto" w:after="40"/>
        <w:ind w:firstLine="420"/>
      </w:pPr>
      <w:r>
        <w:t>“技术分析”（Technical analysis）在教材中更接近相互评估流程内部的一个环节——技术审查（Technical review），即评估团队分析司法管辖区的法律法规</w:t>
      </w:r>
      <w:r>
        <w:rPr>
          <w:sz w:val="15"/>
          <w:vertAlign w:val="superscript"/>
        </w:rPr>
        <w:t>P154</w:t>
      </w:r>
      <w:r>
        <w:t>。它只是相互评估的一个技术性步骤，不如相互评估这个整体流程直接匹配题干中“向 FATF 证明拥有有效框架”的要求。</w:t>
      </w:r>
    </w:p>
    <w:p>
      <w:pPr>
        <w:spacing w:before="120" w:after="40"/>
      </w:pPr>
      <w:r>
        <w:rPr>
          <w:b/>
          <w:sz w:val="21"/>
          <w:shd w:fill="D6E4F0" w:val="clear"/>
        </w:rPr>
        <w:t>易错提醒</w:t>
      </w:r>
    </w:p>
    <w:p>
      <w:pPr>
        <w:spacing w:line="360" w:lineRule="auto" w:after="40"/>
        <w:ind w:firstLine="420"/>
      </w:pPr>
      <w:r>
        <w:t>区分相互评估（Mutual Evaluation）与其内部的技术审查（Technical review）。技术审查是评估团队分析被评国家法律法规的步骤</w:t>
      </w:r>
      <w:r>
        <w:rPr>
          <w:sz w:val="15"/>
          <w:vertAlign w:val="superscript"/>
        </w:rPr>
        <w:t>P154</w:t>
      </w:r>
      <w:r>
        <w:t>，而相互评估是整个同行评审流程，包含技术审查、现场访问、报告起草等多个阶段。题干问的是“证明拥有有效框架”这个整体机制，对应相互评估而非其中某个技术步骤。</w:t>
      </w:r>
    </w:p>
    <w:p>
      <w:pPr>
        <w:spacing w:line="360" w:lineRule="auto" w:after="120"/>
      </w:pPr>
      <w:r/>
    </w:p>
    <w:p>
      <w:pPr>
        <w:spacing w:line="360" w:lineRule="auto" w:after="40"/>
      </w:pPr>
      <w:r>
        <w:t>5. The effectiveness of AML/CFT measures can be best measured by the extent to which systems and controls: ( )</w:t>
      </w:r>
    </w:p>
    <w:p>
      <w:pPr>
        <w:spacing w:line="360" w:lineRule="auto" w:after="20"/>
        <w:ind w:firstLine="283"/>
      </w:pPr>
      <w:r>
        <w:t>A. Comply with relevant laws and regulations</w:t>
      </w:r>
    </w:p>
    <w:p>
      <w:pPr>
        <w:spacing w:line="360" w:lineRule="auto" w:after="20"/>
        <w:ind w:firstLine="283"/>
      </w:pPr>
      <w:r>
        <w:t>B. Minimize the operational burden placed on the financial institution</w:t>
      </w:r>
    </w:p>
    <w:p>
      <w:pPr>
        <w:spacing w:line="360" w:lineRule="auto" w:after="20"/>
        <w:ind w:firstLine="283"/>
      </w:pPr>
      <w:r>
        <w:t>C. Mitigate the risks and threats of financial crime</w:t>
      </w:r>
    </w:p>
    <w:p>
      <w:pPr>
        <w:spacing w:line="360" w:lineRule="auto" w:after="20"/>
        <w:ind w:firstLine="283"/>
      </w:pPr>
      <w:r>
        <w:t>D. Are implemented in a cost-effective way</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风险为本方法下，有效性看是否减轻金融犯罪风险与威胁</w:t>
      </w:r>
    </w:p>
    <w:p>
      <w:pPr>
        <w:spacing w:before="120" w:after="40"/>
      </w:pPr>
      <w:r>
        <w:rPr>
          <w:b/>
          <w:sz w:val="21"/>
          <w:shd w:fill="D6E4F0" w:val="clear"/>
        </w:rPr>
        <w:t>核心解析</w:t>
      </w:r>
    </w:p>
    <w:p>
      <w:pPr>
        <w:spacing w:line="360" w:lineRule="auto" w:after="40"/>
        <w:ind w:firstLine="420"/>
      </w:pPr>
      <w:r>
        <w:t>剩余风险的计算公式为：固有风险减去控制有效性</w:t>
      </w:r>
      <w:r>
        <w:rPr>
          <w:sz w:val="15"/>
          <w:vertAlign w:val="superscript"/>
        </w:rPr>
        <w:t>P278</w:t>
      </w:r>
      <w:r>
        <w:t>。组织应评估控制措施在降低固有风险方面的效力</w:t>
      </w:r>
      <w:r>
        <w:rPr>
          <w:sz w:val="15"/>
          <w:vertAlign w:val="superscript"/>
        </w:rPr>
        <w:t>P278</w:t>
      </w:r>
      <w:r>
        <w:t>。FATF建议1和2要求各国采取风险为本方法，实施“有效减轻这些威胁”的措施</w:t>
      </w:r>
      <w:r>
        <w:rPr>
          <w:sz w:val="15"/>
          <w:vertAlign w:val="superscript"/>
        </w:rPr>
        <w:t>P147</w:t>
      </w:r>
      <w:r>
        <w:t>。题干问的是衡量AML/CFT措施有效性的最佳标准，核心就是看系统和控制措施在多大程度上减轻金融犯罪的风险和威胁，这与教材对有效性的定义直接吻合。</w:t>
      </w:r>
    </w:p>
    <w:p>
      <w:pPr>
        <w:spacing w:before="120" w:after="40"/>
      </w:pPr>
      <w:r>
        <w:rPr>
          <w:b/>
          <w:sz w:val="21"/>
          <w:shd w:fill="D6E4F0" w:val="clear"/>
        </w:rPr>
        <w:t>教材原句</w:t>
      </w:r>
    </w:p>
    <w:p>
      <w:pPr>
        <w:spacing w:line="360" w:lineRule="auto" w:after="40"/>
        <w:ind w:firstLine="420"/>
      </w:pPr>
      <w:r>
        <w:t>"take a risk-based approach to implementing measures that effectively mitigate these threats."</w:t>
      </w:r>
    </w:p>
    <w:p>
      <w:pPr>
        <w:spacing w:before="120" w:after="40"/>
      </w:pPr>
      <w:r>
        <w:rPr>
          <w:b/>
          <w:sz w:val="21"/>
          <w:shd w:fill="D6E4F0" w:val="clear"/>
        </w:rPr>
        <w:t>A项错误</w:t>
      </w:r>
    </w:p>
    <w:p>
      <w:pPr>
        <w:spacing w:line="360" w:lineRule="auto" w:after="40"/>
        <w:ind w:firstLine="420"/>
      </w:pPr>
      <w:r>
        <w:t>“遵守相关法律法规”是实施反洗钱措施的基本要求，但教材指出控制有效性取决于正确应用、功能性和全组织一致性</w:t>
      </w:r>
      <w:r>
        <w:rPr>
          <w:sz w:val="15"/>
          <w:vertAlign w:val="superscript"/>
        </w:rPr>
        <w:t>P278</w:t>
      </w:r>
      <w:r>
        <w:t>，合规并不直接等同于实际降低风险的程度。因此在衡量有效性时，减轻风险和威胁比单纯遵守法规更贴近教材定义。</w:t>
      </w:r>
    </w:p>
    <w:p>
      <w:pPr>
        <w:spacing w:before="120" w:after="40"/>
      </w:pPr>
      <w:r>
        <w:rPr>
          <w:b/>
          <w:sz w:val="21"/>
          <w:shd w:fill="D6E4F0" w:val="clear"/>
        </w:rPr>
        <w:t>B项错误</w:t>
      </w:r>
    </w:p>
    <w:p>
      <w:pPr>
        <w:spacing w:line="360" w:lineRule="auto" w:after="40"/>
        <w:ind w:firstLine="420"/>
      </w:pPr>
      <w:r>
        <w:t>“最大限度降低金融机构的运营负担”关注的是运营效率，但教材把有效性与“减少固有风险”绑定</w:t>
      </w:r>
      <w:r>
        <w:rPr>
          <w:sz w:val="15"/>
          <w:vertAlign w:val="superscript"/>
        </w:rPr>
        <w:t>P278</w:t>
      </w:r>
      <w:r>
        <w:t>，从未将减轻机构负担作为有效性标准。题干更支持以风险缓解为目标，而非运营便利。</w:t>
      </w:r>
    </w:p>
    <w:p>
      <w:pPr>
        <w:spacing w:before="120" w:after="40"/>
      </w:pPr>
      <w:r>
        <w:rPr>
          <w:b/>
          <w:sz w:val="21"/>
          <w:shd w:fill="D6E4F0" w:val="clear"/>
        </w:rPr>
        <w:t>D项错误</w:t>
      </w:r>
    </w:p>
    <w:p>
      <w:pPr>
        <w:spacing w:line="360" w:lineRule="auto" w:after="40"/>
        <w:ind w:firstLine="420"/>
      </w:pPr>
      <w:r>
        <w:t>“以经济高效的方式实施”涉及成本效益，但教材在衡量控制有效性时强调的是降低风险和威胁的程度</w:t>
      </w:r>
      <w:r>
        <w:rPr>
          <w:sz w:val="15"/>
          <w:vertAlign w:val="superscript"/>
        </w:rPr>
        <w:t>P278</w:t>
      </w:r>
      <w:r>
        <w:t>，成本因素只是实施时的考量，并非衡量有效性的直接标尺。题干问的是多大程度上做到某事，C项更直接匹配这一衡量维度。</w:t>
      </w:r>
    </w:p>
    <w:p>
      <w:pPr>
        <w:spacing w:before="120" w:after="40"/>
      </w:pPr>
      <w:r>
        <w:rPr>
          <w:b/>
          <w:sz w:val="21"/>
          <w:shd w:fill="D6E4F0" w:val="clear"/>
        </w:rPr>
        <w:t>易错提醒</w:t>
      </w:r>
    </w:p>
    <w:p>
      <w:pPr>
        <w:spacing w:line="360" w:lineRule="auto" w:after="40"/>
        <w:ind w:firstLine="420"/>
      </w:pPr>
      <w:r>
        <w:t>考生容易误把“遵守法律”等同为有效性。教材区分了合规与有效：控制措施即使合规，若未得到正确应用或缺乏一致性，仍可能无法有效降低风险</w:t>
      </w:r>
      <w:r>
        <w:rPr>
          <w:sz w:val="15"/>
          <w:vertAlign w:val="superscript"/>
        </w:rPr>
        <w:t>P278</w:t>
      </w:r>
      <w:r>
        <w:t>。有效性最终要看对固有风险的减轻程度。</w:t>
      </w:r>
    </w:p>
    <w:p>
      <w:pPr>
        <w:spacing w:line="360" w:lineRule="auto" w:after="120"/>
      </w:pPr>
      <w:r/>
    </w:p>
    <w:p>
      <w:pPr>
        <w:spacing w:line="360" w:lineRule="auto" w:after="40"/>
      </w:pPr>
      <w:r>
        <w:t>6. Which of the following statements is true regarding the 2012 Financial Action Task Force (FATF) 40 Recommendations and/or 11 Immediate Outcomes? ( )</w:t>
      </w:r>
    </w:p>
    <w:p>
      <w:pPr>
        <w:spacing w:line="360" w:lineRule="auto" w:after="20"/>
        <w:ind w:firstLine="283"/>
      </w:pPr>
      <w:r>
        <w:t>A. The 40 Recommendations have not been updated to reflect the impact of new technology</w:t>
      </w:r>
    </w:p>
    <w:p>
      <w:pPr>
        <w:spacing w:line="360" w:lineRule="auto" w:after="20"/>
        <w:ind w:firstLine="283"/>
      </w:pPr>
      <w:r>
        <w:t>B. Each jurisdiction can reach out to the FATF for private access to the interpretive notes to the 40 Recommendations</w:t>
      </w:r>
    </w:p>
    <w:p>
      <w:pPr>
        <w:spacing w:line="360" w:lineRule="auto" w:after="20"/>
        <w:ind w:firstLine="283"/>
      </w:pPr>
      <w:r>
        <w:t>C. The 11 Immediate Outcomes are recommendations specific to high-risk jurisdictions requiring enhanced monitoring</w:t>
      </w:r>
    </w:p>
    <w:p>
      <w:pPr>
        <w:spacing w:line="360" w:lineRule="auto" w:after="20"/>
        <w:ind w:firstLine="283"/>
      </w:pPr>
      <w:r>
        <w:t>D. The cornerstone of the 40 Recommendations is the adoption of a risk-based approach</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区分FATF 40项建议的核心原则与11项即时成果的功能定位</w:t>
      </w:r>
    </w:p>
    <w:p>
      <w:pPr>
        <w:spacing w:before="120" w:after="40"/>
      </w:pPr>
      <w:r>
        <w:rPr>
          <w:b/>
          <w:sz w:val="21"/>
          <w:shd w:fill="D6E4F0" w:val="clear"/>
        </w:rPr>
        <w:t>核心解析</w:t>
      </w:r>
    </w:p>
    <w:p>
      <w:pPr>
        <w:spacing w:line="360" w:lineRule="auto" w:after="40"/>
        <w:ind w:firstLine="420"/>
      </w:pPr>
      <w:r>
        <w:t>FATF 40项建议中，建议1和建议2要求各司法管辖区评估并了解自身的洗钱和恐怖融资风险，并采取风险为本方法（risk-based approach）来实施有效措施以缓释这些威胁</w:t>
      </w:r>
      <w:r>
        <w:rPr>
          <w:sz w:val="15"/>
          <w:vertAlign w:val="superscript"/>
        </w:rPr>
        <w:t>P147</w:t>
      </w:r>
      <w:r>
        <w:t>。风险为本方法确保应对措施与识别出的风险成比例</w:t>
      </w:r>
      <w:r>
        <w:rPr>
          <w:sz w:val="15"/>
          <w:vertAlign w:val="superscript"/>
        </w:rPr>
        <w:t>P147</w:t>
      </w:r>
      <w:r>
        <w:t>，这一定位使RBA成为贯穿40项建议的基石性原则。题干问及40项建议和/或11项即时成果的正确陈述，D项直指RBA这一核心，与教材多处强调的“40项建议以风险为本方法为基石”完全吻合。相比之下，11项即时成果是FATF用于在互评估中衡量各司法管辖区反洗钱/反恐怖融资框架有效性的评估工具，评级分为低、中、显著、高</w:t>
      </w:r>
      <w:r>
        <w:rPr>
          <w:sz w:val="15"/>
          <w:vertAlign w:val="superscript"/>
        </w:rPr>
        <w:t>P150</w:t>
      </w:r>
      <w:r>
        <w:t>，它面向所有受评估司法管辖区，并非专门针对高风险司法管辖区的具体建议。由此可推断，在教材框架下，D项最准确地概括了40项建议的本质特征。</w:t>
      </w:r>
    </w:p>
    <w:p>
      <w:pPr>
        <w:spacing w:before="120" w:after="40"/>
      </w:pPr>
      <w:r>
        <w:rPr>
          <w:b/>
          <w:sz w:val="21"/>
          <w:shd w:fill="D6E4F0" w:val="clear"/>
        </w:rPr>
        <w:t>教材原句</w:t>
      </w:r>
    </w:p>
    <w:p>
      <w:pPr>
        <w:spacing w:line="360" w:lineRule="auto" w:after="40"/>
        <w:ind w:firstLine="420"/>
      </w:pPr>
      <w:r>
        <w:t>"Recommendations 1 and 2 advise jurisdictions to assess and understand their money laundering and terrorist financing risks and take a risk-based approach to implementing measures that effectively mitigate these threats."</w:t>
      </w:r>
    </w:p>
    <w:p>
      <w:pPr>
        <w:spacing w:before="120" w:after="40"/>
      </w:pPr>
      <w:r>
        <w:rPr>
          <w:b/>
          <w:sz w:val="21"/>
          <w:shd w:fill="D6E4F0" w:val="clear"/>
        </w:rPr>
        <w:t>A项错误</w:t>
      </w:r>
    </w:p>
    <w:p>
      <w:pPr>
        <w:spacing w:line="360" w:lineRule="auto" w:after="40"/>
        <w:ind w:firstLine="420"/>
      </w:pPr>
      <w:r>
        <w:t>教材明确要求“金融机构需评估新技术带来的风险”</w:t>
      </w:r>
      <w:r>
        <w:rPr>
          <w:sz w:val="15"/>
          <w:vertAlign w:val="superscript"/>
        </w:rPr>
        <w:t>P148</w:t>
      </w:r>
      <w:r>
        <w:t>，并在讨论金融犯罪防控技术时指出，未能充分评估风险即匆忙采用新技术，可能导致监管机构认为反金融犯罪职能未充分理解其角色</w:t>
      </w:r>
      <w:r>
        <w:rPr>
          <w:sz w:val="15"/>
          <w:vertAlign w:val="superscript"/>
        </w:rPr>
        <w:t>P382</w:t>
      </w:r>
      <w:r>
        <w:t>。这说明40项建议已涵盖对新技术风险的考量，A项说“尚未更新”与教材事实不符。</w:t>
      </w:r>
    </w:p>
    <w:p>
      <w:pPr>
        <w:spacing w:before="120" w:after="40"/>
      </w:pPr>
      <w:r>
        <w:rPr>
          <w:b/>
          <w:sz w:val="21"/>
          <w:shd w:fill="D6E4F0" w:val="clear"/>
        </w:rPr>
        <w:t>B项错误</w:t>
      </w:r>
    </w:p>
    <w:p>
      <w:pPr>
        <w:spacing w:line="360" w:lineRule="auto" w:after="40"/>
        <w:ind w:firstLine="420"/>
      </w:pPr>
      <w:r>
        <w:t>教材显示FATF“向各司法管辖区提供实施建议的指导和最佳实践”</w:t>
      </w:r>
      <w:r>
        <w:rPr>
          <w:sz w:val="15"/>
          <w:vertAlign w:val="superscript"/>
        </w:rPr>
        <w:t>P146</w:t>
      </w:r>
      <w:r>
        <w:t>，这是公开的指导资源，并非非公开访问。教材未提及任何关于解释性说明“非公开访问权限”的机制，题干所描述的这一要素缺失。</w:t>
      </w:r>
    </w:p>
    <w:p>
      <w:pPr>
        <w:spacing w:before="120" w:after="40"/>
      </w:pPr>
      <w:r>
        <w:rPr>
          <w:b/>
          <w:sz w:val="21"/>
          <w:shd w:fill="D6E4F0" w:val="clear"/>
        </w:rPr>
        <w:t>C项错误</w:t>
      </w:r>
    </w:p>
    <w:p>
      <w:pPr>
        <w:spacing w:line="360" w:lineRule="auto" w:after="40"/>
        <w:ind w:firstLine="420"/>
      </w:pPr>
      <w:r>
        <w:t>教材将11项即时成果定位为FATF互评估中衡量有效性的工具，以低、中、显著、高四个等级进行评级</w:t>
      </w:r>
      <w:r>
        <w:rPr>
          <w:sz w:val="15"/>
          <w:vertAlign w:val="superscript"/>
        </w:rPr>
        <w:t>P150</w:t>
      </w:r>
      <w:r>
        <w:t>，其适用对象是所有接受评估的司法管辖区，而非仅针对高风险司法管辖区。针对存在严重缺陷的高风险司法管辖区，FATF另有“公开警告”等机制</w:t>
      </w:r>
      <w:r>
        <w:rPr>
          <w:sz w:val="15"/>
          <w:vertAlign w:val="superscript"/>
        </w:rPr>
        <w:t>P157</w:t>
      </w:r>
      <w:r>
        <w:t>，与IOs的功能不同。在教材框架下，题干条件更直接匹配“IOs是面向所有辖区的有效性评估维度”这一定位。</w:t>
      </w:r>
    </w:p>
    <w:p>
      <w:pPr>
        <w:spacing w:before="120" w:after="40"/>
      </w:pPr>
      <w:r>
        <w:rPr>
          <w:b/>
          <w:sz w:val="21"/>
          <w:shd w:fill="D6E4F0" w:val="clear"/>
        </w:rPr>
        <w:t>易错提醒</w:t>
      </w:r>
    </w:p>
    <w:p>
      <w:pPr>
        <w:spacing w:line="360" w:lineRule="auto" w:after="40"/>
        <w:ind w:firstLine="420"/>
      </w:pPr>
      <w:r>
        <w:t>11项即时成果（Immediate Outcomes）是评估所有司法管辖区有效性的工具</w:t>
      </w:r>
      <w:r>
        <w:rPr>
          <w:sz w:val="15"/>
          <w:vertAlign w:val="superscript"/>
        </w:rPr>
        <w:t>P150</w:t>
      </w:r>
      <w:r>
        <w:t>，不是针对高风险辖区的建议。针对高风险辖区的是FATF灰名单/黑名单机制——FATF对整改不力的司法管辖区可发布公开警告</w:t>
      </w:r>
      <w:r>
        <w:rPr>
          <w:sz w:val="15"/>
          <w:vertAlign w:val="superscript"/>
        </w:rPr>
        <w:t>P157</w:t>
      </w:r>
      <w:r>
        <w:t>。二者适用对象不同：IOs面向全部辖区用于衡量框架有效性，公开警告面向特定高风险辖区用于施压整改。</w:t>
      </w:r>
    </w:p>
    <w:p>
      <w:pPr>
        <w:spacing w:line="360" w:lineRule="auto" w:after="120"/>
      </w:pPr>
      <w:r/>
    </w:p>
    <w:p>
      <w:pPr>
        <w:spacing w:line="360" w:lineRule="auto" w:after="40"/>
      </w:pPr>
      <w:r>
        <w:t>7. Who bears the ultimate responsibility for approving a financial institution's relationship with a politically exposed person? ( )</w:t>
      </w:r>
    </w:p>
    <w:p>
      <w:pPr>
        <w:spacing w:line="360" w:lineRule="auto" w:after="20"/>
        <w:ind w:firstLine="283"/>
      </w:pPr>
      <w:r>
        <w:t>A. KYC analyst</w:t>
      </w:r>
    </w:p>
    <w:p>
      <w:pPr>
        <w:spacing w:line="360" w:lineRule="auto" w:after="20"/>
        <w:ind w:firstLine="283"/>
      </w:pPr>
      <w:r>
        <w:t>B. Senior management</w:t>
      </w:r>
    </w:p>
    <w:p>
      <w:pPr>
        <w:spacing w:line="360" w:lineRule="auto" w:after="20"/>
        <w:ind w:firstLine="283"/>
      </w:pPr>
      <w:r>
        <w:t>C. Relationship manager</w:t>
      </w:r>
    </w:p>
    <w:p>
      <w:pPr>
        <w:spacing w:line="360" w:lineRule="auto" w:after="20"/>
        <w:ind w:firstLine="283"/>
      </w:pPr>
      <w:r>
        <w:t>D. Enhanced due diligence compliance officer</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批准PEP业务关系的最终责任归属</w:t>
      </w:r>
    </w:p>
    <w:p>
      <w:pPr>
        <w:spacing w:before="120" w:after="40"/>
      </w:pPr>
      <w:r>
        <w:rPr>
          <w:b/>
          <w:sz w:val="21"/>
          <w:shd w:fill="D6E4F0" w:val="clear"/>
        </w:rPr>
        <w:t>核心解析</w:t>
      </w:r>
    </w:p>
    <w:p>
      <w:pPr>
        <w:spacing w:line="360" w:lineRule="auto" w:after="40"/>
        <w:ind w:firstLine="420"/>
      </w:pPr>
      <w:r>
        <w:t>FATF建议12明确规定，金融机构在与政治敏感人物建立业务关系前，必须获得高级管理层的批准</w:t>
      </w:r>
      <w:r>
        <w:rPr>
          <w:sz w:val="15"/>
          <w:vertAlign w:val="superscript"/>
        </w:rPr>
        <w:t>P148</w:t>
      </w:r>
      <w:r>
        <w:t>。题干问的是与PEP关系的“最终责任”，这正是教材中高级管理层审批这一控制措施的核心——将是否接纳高风险客户的最终决策权置于治理结构的最高层级。在教材框架下，KYC分析师和执行EDD的合规官承担的是操作层面的尽职调查，客户经理负责客户接触与信息收集，而批准权与最终责任明确落在高级管理层。</w:t>
      </w:r>
    </w:p>
    <w:p>
      <w:pPr>
        <w:spacing w:before="120" w:after="40"/>
      </w:pPr>
      <w:r>
        <w:rPr>
          <w:b/>
          <w:sz w:val="21"/>
          <w:shd w:fill="D6E4F0" w:val="clear"/>
        </w:rPr>
        <w:t>教材原句</w:t>
      </w:r>
    </w:p>
    <w:p>
      <w:pPr>
        <w:spacing w:line="360" w:lineRule="auto" w:after="40"/>
        <w:ind w:firstLine="420"/>
      </w:pPr>
      <w:r>
        <w:t>"For instance, 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KYC分析师负责执行客户身份识别与尽职调查流程，属于操作执行层，不承担批准业务关系的最终责任。在教材框架下，题干更指向治理层面的审批责任，而非执行层面的KYC任务。</w:t>
      </w:r>
    </w:p>
    <w:p>
      <w:pPr>
        <w:spacing w:before="120" w:after="40"/>
      </w:pPr>
      <w:r>
        <w:rPr>
          <w:b/>
          <w:sz w:val="21"/>
          <w:shd w:fill="D6E4F0" w:val="clear"/>
        </w:rPr>
        <w:t>C项错误</w:t>
      </w:r>
    </w:p>
    <w:p>
      <w:pPr>
        <w:spacing w:line="360" w:lineRule="auto" w:after="40"/>
        <w:ind w:firstLine="420"/>
      </w:pPr>
      <w:r>
        <w:t>客户经理是面向客户的员工，负责收集信息与维护关系，但教材同时指出关系经理可能因维护客户关系而忽视警示信号，存在利益冲突</w:t>
      </w:r>
      <w:r>
        <w:rPr>
          <w:sz w:val="15"/>
          <w:vertAlign w:val="superscript"/>
        </w:rPr>
        <w:t>P71</w:t>
      </w:r>
      <w:r>
        <w:t>。相比之下，高级管理层作为独立于客户关系的治理角色，更匹配“最终责任”所要求的客观审批职能。</w:t>
      </w:r>
    </w:p>
    <w:p>
      <w:pPr>
        <w:spacing w:before="120" w:after="40"/>
      </w:pPr>
      <w:r>
        <w:rPr>
          <w:b/>
          <w:sz w:val="21"/>
          <w:shd w:fill="D6E4F0" w:val="clear"/>
        </w:rPr>
        <w:t>D项错误</w:t>
      </w:r>
    </w:p>
    <w:p>
      <w:pPr>
        <w:spacing w:line="360" w:lineRule="auto" w:after="40"/>
        <w:ind w:firstLine="420"/>
      </w:pPr>
      <w:r>
        <w:t>增强型尽职调查合规官负责执行额外的审查措施，但题干问的是“批准关系”的最终责任，而非“执行EDD”的操作责任。教材原文将审批职责明确归于高级管理层，EDD合规官的角色在匹配度上不如高级管理层直接。</w:t>
      </w:r>
    </w:p>
    <w:p>
      <w:pPr>
        <w:spacing w:before="120" w:after="40"/>
      </w:pPr>
      <w:r>
        <w:rPr>
          <w:b/>
          <w:sz w:val="21"/>
          <w:shd w:fill="D6E4F0" w:val="clear"/>
        </w:rPr>
        <w:t>易错提醒</w:t>
      </w:r>
    </w:p>
    <w:p>
      <w:pPr>
        <w:spacing w:line="360" w:lineRule="auto" w:after="40"/>
        <w:ind w:firstLine="420"/>
      </w:pPr>
      <w:r>
        <w:t>“最终责任”不同于“执行责任”。高级管理层是“批准”角色</w:t>
      </w:r>
      <w:r>
        <w:rPr>
          <w:sz w:val="15"/>
          <w:vertAlign w:val="superscript"/>
        </w:rPr>
        <w:t>P148</w:t>
      </w:r>
      <w:r>
        <w:t>，KYC分析师和EDD合规官是“执行”角色。FATF将此审批权归于高级管理层，正因PEP关系属高风险决策，需治理层承担最终风险决策责任——这与教材中高级管理层利用风险评估报告决定资源配置的逻辑一脉相承</w:t>
      </w:r>
      <w:r>
        <w:rPr>
          <w:sz w:val="15"/>
          <w:vertAlign w:val="superscript"/>
        </w:rPr>
        <w:t>P281</w:t>
      </w:r>
      <w:r>
        <w:t>。</w:t>
      </w:r>
    </w:p>
    <w:p>
      <w:pPr>
        <w:spacing w:line="360" w:lineRule="auto" w:after="120"/>
      </w:pPr>
      <w:r/>
    </w:p>
    <w:p>
      <w:pPr>
        <w:spacing w:line="360" w:lineRule="auto" w:after="40"/>
      </w:pPr>
      <w:r>
        <w:t>8. Which statement best describes an organizational challenge for law enforcement agencies and Financial Intelligence Units (FIUs) when conducting cross-border money laundering (ML) investigations? ( )</w:t>
      </w:r>
    </w:p>
    <w:p>
      <w:pPr>
        <w:spacing w:line="360" w:lineRule="auto" w:after="20"/>
        <w:ind w:firstLine="283"/>
      </w:pPr>
      <w:r>
        <w:t>A. Defining a common communication approach and language between all involved parties</w:t>
      </w:r>
    </w:p>
    <w:p>
      <w:pPr>
        <w:spacing w:line="360" w:lineRule="auto" w:after="20"/>
        <w:ind w:firstLine="283"/>
      </w:pPr>
      <w:r>
        <w:t>B. Delays in the investigation due to a foreign FIU awaiting the results of queries performed by third parties</w:t>
      </w:r>
    </w:p>
    <w:p>
      <w:pPr>
        <w:spacing w:line="360" w:lineRule="auto" w:after="20"/>
        <w:ind w:firstLine="283"/>
      </w:pPr>
      <w:r>
        <w:t>C. Conducting an investigation in all countries through which ML funds were transferred when one or more of the countries do not have an FIU</w:t>
      </w:r>
    </w:p>
    <w:p>
      <w:pPr>
        <w:spacing w:line="360" w:lineRule="auto" w:after="20"/>
        <w:ind w:firstLine="283"/>
      </w:pPr>
      <w:r>
        <w:t>D. Investigations that involve high-ranking politicians who often have influence over local FIUs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跨境调查中缺失FIU造成的制度性协调障碍</w:t>
      </w:r>
    </w:p>
    <w:p>
      <w:pPr>
        <w:spacing w:before="120" w:after="40"/>
      </w:pPr>
      <w:r>
        <w:rPr>
          <w:b/>
          <w:sz w:val="21"/>
          <w:shd w:fill="D6E4F0" w:val="clear"/>
        </w:rPr>
        <w:t>核心解析</w:t>
      </w:r>
    </w:p>
    <w:p>
      <w:pPr>
        <w:spacing w:line="360" w:lineRule="auto" w:after="40"/>
        <w:ind w:firstLine="420"/>
      </w:pPr>
      <w:r>
        <w:t>FATF建议要求各司法管辖区设立金融情报机构（FIU），用以分析可疑交易报告并支持执法调查</w:t>
      </w:r>
      <w:r>
        <w:rPr>
          <w:sz w:val="15"/>
          <w:vertAlign w:val="superscript"/>
        </w:rPr>
        <w:t>P149</w:t>
      </w:r>
      <w:r>
        <w:t>。同时，打击洗钱离不开国内与国际合作及信息共享</w:t>
      </w:r>
      <w:r>
        <w:rPr>
          <w:sz w:val="15"/>
          <w:vertAlign w:val="superscript"/>
        </w:rPr>
        <w:t>P233</w:t>
      </w:r>
      <w:r>
        <w:t>。题干问的是执法机构和FIU在跨境洗钱调查中面临的组织挑战。当资金流经的国家中有一个或多个未设立FIU时，缺失机构就无法履行可疑交易分析与执法支持职能，调查无法在全部相关国家展开，这正是跨境合作中典型的制度性障碍，直接对应了FATF对各国建立FIU的硬性要求。因此选项C最准确地描述了这种组织结构上的缺失。</w:t>
      </w:r>
    </w:p>
    <w:p>
      <w:pPr>
        <w:spacing w:before="120" w:after="40"/>
      </w:pPr>
      <w:r>
        <w:rPr>
          <w:b/>
          <w:sz w:val="21"/>
          <w:shd w:fill="D6E4F0" w:val="clear"/>
        </w:rPr>
        <w:t>教材原句</w:t>
      </w:r>
    </w:p>
    <w:p>
      <w:pPr>
        <w:spacing w:line="360" w:lineRule="auto" w:after="40"/>
        <w:ind w:firstLine="420"/>
      </w:pPr>
      <w:r>
        <w:t>"Jurisdictions should establish an FIU to analyze suspicious transaction reports and support law enforcement investigations."</w:t>
      </w:r>
    </w:p>
    <w:p>
      <w:pPr>
        <w:spacing w:before="120" w:after="40"/>
      </w:pPr>
      <w:r>
        <w:rPr>
          <w:b/>
          <w:sz w:val="21"/>
          <w:shd w:fill="D6E4F0" w:val="clear"/>
        </w:rPr>
        <w:t>B项错误</w:t>
      </w:r>
    </w:p>
    <w:p>
      <w:pPr>
        <w:spacing w:line="360" w:lineRule="auto" w:after="40"/>
        <w:ind w:firstLine="420"/>
      </w:pPr>
      <w:r>
        <w:t>选项B描述外国FIU等待第三方查询结果造成调查延误。教材提及延迟可能来自操作积压或需更新客户风险情况</w:t>
      </w:r>
      <w:r>
        <w:rPr>
          <w:sz w:val="15"/>
          <w:vertAlign w:val="superscript"/>
        </w:rPr>
        <w:t>P382</w:t>
      </w:r>
      <w:r>
        <w:t>，但这些都属于客户交易处理中的摩擦，并非跨境调查特有的组织挑战。在制度层面，教材更突出的是FIU缺席导致的合作无法启动，题干条件更直接匹配缺失机构的结构性问题，而非操作层面的暂时延迟。</w:t>
      </w:r>
    </w:p>
    <w:p>
      <w:pPr>
        <w:spacing w:before="120" w:after="40"/>
      </w:pPr>
      <w:r>
        <w:rPr>
          <w:b/>
          <w:sz w:val="21"/>
          <w:shd w:fill="D6E4F0" w:val="clear"/>
        </w:rPr>
        <w:t>D项错误</w:t>
      </w:r>
    </w:p>
    <w:p>
      <w:pPr>
        <w:spacing w:line="360" w:lineRule="auto" w:after="40"/>
        <w:ind w:firstLine="420"/>
      </w:pPr>
      <w:r>
        <w:t>选项D涉及高级政客对当地FIU施加影响。教材将政治敏感人物（PEPs）归为客户风险类别，指出其因接触公共资金而存在更高的贿赂腐败风险</w:t>
      </w:r>
      <w:r>
        <w:rPr>
          <w:sz w:val="15"/>
          <w:vertAlign w:val="superscript"/>
        </w:rPr>
        <w:t>P320</w:t>
      </w:r>
      <w:r>
        <w:t>，这属于客户尽职调查与风险管控范围，而非执法机构与FIU在跨境调查中面临的组织性障碍。正确项C指向的是机构设置缺失，更吻合教材对跨境合作制度的定义。</w:t>
      </w:r>
    </w:p>
    <w:p>
      <w:pPr>
        <w:spacing w:before="120" w:after="40"/>
      </w:pPr>
      <w:r>
        <w:rPr>
          <w:b/>
          <w:sz w:val="21"/>
          <w:shd w:fill="D6E4F0" w:val="clear"/>
        </w:rPr>
        <w:t>易错提醒</w:t>
      </w:r>
    </w:p>
    <w:p>
      <w:pPr>
        <w:spacing w:line="360" w:lineRule="auto" w:after="40"/>
        <w:ind w:firstLine="420"/>
      </w:pPr>
      <w:r>
        <w:t>延误（B项）是操作层面的摩擦，教材将其归入客户旅程摩擦</w:t>
      </w:r>
      <w:r>
        <w:rPr>
          <w:sz w:val="15"/>
          <w:vertAlign w:val="superscript"/>
        </w:rPr>
        <w:t>P382</w:t>
      </w:r>
      <w:r>
        <w:t>；缺乏FIU（C项）则是制度性缺失，直接违反FATF关于各国设立FIU的硬性要求</w:t>
      </w:r>
      <w:r>
        <w:rPr>
          <w:sz w:val="15"/>
          <w:vertAlign w:val="superscript"/>
        </w:rPr>
        <w:t>P149</w:t>
      </w:r>
      <w:r>
        <w:t>。跨境调查的组织挑战强调的是机构设置与制度衔接的缺失，而非执行过程中的效率延迟。</w:t>
      </w:r>
    </w:p>
    <w:p>
      <w:pPr>
        <w:spacing w:line="360" w:lineRule="auto" w:after="120"/>
      </w:pPr>
      <w:r/>
    </w:p>
    <w:p>
      <w:pPr>
        <w:spacing w:line="360" w:lineRule="auto" w:after="40"/>
      </w:pPr>
      <w:r>
        <w:t>9. When the Financial Action Task Force (FATF) places a jurisdiction on the list of jurisdictions under increased monitoring, also known as the grey list, the jurisdiction: ( )</w:t>
      </w:r>
    </w:p>
    <w:p>
      <w:pPr>
        <w:spacing w:line="360" w:lineRule="auto" w:after="20"/>
        <w:ind w:firstLine="283"/>
      </w:pPr>
      <w:r>
        <w:t>A. Accepts to participate in an off-cycle FATF mutual evaluation to be held within the next 12 months</w:t>
      </w:r>
    </w:p>
    <w:p>
      <w:pPr>
        <w:spacing w:line="360" w:lineRule="auto" w:after="20"/>
        <w:ind w:firstLine="283"/>
      </w:pPr>
      <w:r>
        <w:t>B. Must pay a fine to be removed from the list before the next FATF plenary</w:t>
      </w:r>
    </w:p>
    <w:p>
      <w:pPr>
        <w:spacing w:line="360" w:lineRule="auto" w:after="20"/>
        <w:ind w:firstLine="283"/>
      </w:pPr>
      <w:r>
        <w:t>C. Has committed to swiftly resolving the deficiencies identified in a FATF mutual evaluation</w:t>
      </w:r>
    </w:p>
    <w:p>
      <w:pPr>
        <w:spacing w:line="360" w:lineRule="auto" w:after="20"/>
        <w:ind w:firstLine="283"/>
      </w:pPr>
      <w:r>
        <w:t>D. Poses a high money laundering, terrorist financing, and proliferation financing risk and must be restricted from accessing the international financial system</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FATF灰名单的核心特征：存在缺陷但承诺整改</w:t>
      </w:r>
    </w:p>
    <w:p>
      <w:pPr>
        <w:spacing w:before="120" w:after="40"/>
      </w:pPr>
      <w:r>
        <w:rPr>
          <w:b/>
          <w:sz w:val="21"/>
          <w:shd w:fill="D6E4F0" w:val="clear"/>
        </w:rPr>
        <w:t>核心解析</w:t>
      </w:r>
    </w:p>
    <w:p>
      <w:pPr>
        <w:spacing w:line="360" w:lineRule="auto" w:after="40"/>
        <w:ind w:firstLine="420"/>
      </w:pPr>
      <w:r>
        <w:t>FATF灰名单指在反洗钱/反恐怖融资体系存在战略缺陷但正积极与FATF合作解决问题的司法管辖区</w:t>
      </w:r>
      <w:r>
        <w:rPr>
          <w:sz w:val="15"/>
          <w:vertAlign w:val="superscript"/>
        </w:rPr>
        <w:t>P156</w:t>
      </w:r>
      <w:r>
        <w:t>。被列入灰名单的前提是该司法管辖区已经识别出互评估中发现的不足，并做出迅速解决的承诺。选项C中“已承诺迅速解决FATF相互评估中发现的不足之处”直接对应这一定义特征，表明该司法管辖区正主动合作整改，由此可判断C为正确答案。</w:t>
      </w:r>
    </w:p>
    <w:p>
      <w:pPr>
        <w:spacing w:before="120" w:after="40"/>
      </w:pPr>
      <w:r>
        <w:rPr>
          <w:b/>
          <w:sz w:val="21"/>
          <w:shd w:fill="D6E4F0" w:val="clear"/>
        </w:rPr>
        <w:t>A项错误</w:t>
      </w:r>
    </w:p>
    <w:p>
      <w:pPr>
        <w:spacing w:line="360" w:lineRule="auto" w:after="40"/>
        <w:ind w:firstLine="420"/>
      </w:pPr>
      <w:r>
        <w:t>教材未将“12个月内参加非周期性互评估”作为被列入灰名单的条件或承诺事项；灰名单的核心是已承诺解决已发现的缺陷，而非对具体评估时间表的同意，因此正确项C与教材灰名单定义的匹配更直接。</w:t>
      </w:r>
    </w:p>
    <w:p>
      <w:pPr>
        <w:spacing w:before="120" w:after="40"/>
      </w:pPr>
      <w:r>
        <w:rPr>
          <w:b/>
          <w:sz w:val="21"/>
          <w:shd w:fill="D6E4F0" w:val="clear"/>
        </w:rPr>
        <w:t>B项错误</w:t>
      </w:r>
    </w:p>
    <w:p>
      <w:pPr>
        <w:spacing w:line="360" w:lineRule="auto" w:after="40"/>
        <w:ind w:firstLine="420"/>
      </w:pPr>
      <w:r>
        <w:t>FATF灰名单机制中没有罚款除名这一流程，教材也未提及罚款规定。相比之下，正确项C体现的“承诺整改”逻辑更吻合灰名单的合作、非惩罚属性。</w:t>
      </w:r>
    </w:p>
    <w:p>
      <w:pPr>
        <w:spacing w:before="120" w:after="40"/>
      </w:pPr>
      <w:r>
        <w:rPr>
          <w:b/>
          <w:sz w:val="21"/>
          <w:shd w:fill="D6E4F0" w:val="clear"/>
        </w:rPr>
        <w:t>D项错误</w:t>
      </w:r>
    </w:p>
    <w:p>
      <w:pPr>
        <w:spacing w:line="360" w:lineRule="auto" w:after="40"/>
        <w:ind w:firstLine="420"/>
      </w:pPr>
      <w:r>
        <w:t>该描述更贴合黑名单的特征——存在严重缺陷，需采取强化尽职调查和反制措施（P156，而题干为灰名单，仅涉及战略缺陷且正积极合作，尚未达到被限制进入国际金融体系的程度，正确项C比D更准确地匹配灰名单情景。</w:t>
      </w:r>
    </w:p>
    <w:p>
      <w:pPr>
        <w:spacing w:before="120" w:after="40"/>
      </w:pPr>
      <w:r>
        <w:rPr>
          <w:b/>
          <w:sz w:val="21"/>
          <w:shd w:fill="D6E4F0" w:val="clear"/>
        </w:rPr>
        <w:t>易错提醒</w:t>
      </w:r>
    </w:p>
    <w:p>
      <w:pPr>
        <w:spacing w:line="360" w:lineRule="auto" w:after="40"/>
        <w:ind w:firstLine="420"/>
      </w:pPr>
      <w:r>
        <w:t>灰名单与黑名单的关键区分：灰名单指存在战略缺陷但正积极与FATF合作整改的司法管辖区</w:t>
      </w:r>
      <w:r>
        <w:rPr>
          <w:sz w:val="15"/>
          <w:vertAlign w:val="superscript"/>
        </w:rPr>
        <w:t>P156</w:t>
      </w:r>
      <w:r>
        <w:t>；黑名单则指存在严重缺陷，需全体成员采取强化尽职调查及反制措施的司法管辖区</w:t>
      </w:r>
      <w:r>
        <w:rPr>
          <w:sz w:val="15"/>
          <w:vertAlign w:val="superscript"/>
        </w:rPr>
        <w:t>P156</w:t>
      </w:r>
      <w:r>
        <w:t>。题干涉及灰名单，因此“承诺整改”而非“高风险并限制进入”更能体现其特征。</w:t>
      </w:r>
    </w:p>
    <w:p>
      <w:pPr>
        <w:spacing w:line="360" w:lineRule="auto" w:after="120"/>
      </w:pPr>
      <w:r/>
    </w:p>
    <w:p>
      <w:pPr>
        <w:spacing w:line="360" w:lineRule="auto" w:after="40"/>
      </w:pPr>
      <w:r>
        <w:t>10. In the process of mutual evaluations and subsequent follow-ups used by the Financial Action Task Force (FATF) to assess the quality of various jurisdictions' AML controls, the FATF: ( )</w:t>
      </w:r>
    </w:p>
    <w:p>
      <w:pPr>
        <w:spacing w:line="360" w:lineRule="auto" w:after="20"/>
        <w:ind w:firstLine="283"/>
      </w:pPr>
      <w:r>
        <w:t>A. Imposes economic sanctions on jurisdictions with lax AML controls to force them to strengthen their controls</w:t>
      </w:r>
    </w:p>
    <w:p>
      <w:pPr>
        <w:spacing w:line="360" w:lineRule="auto" w:after="20"/>
        <w:ind w:firstLine="283"/>
      </w:pPr>
      <w:r>
        <w:t>B. Conducts on-site inspections of financial institutions in jurisdictions with lax AML controls to identify deficiencies and recommend improvements</w:t>
      </w:r>
    </w:p>
    <w:p>
      <w:pPr>
        <w:spacing w:line="360" w:lineRule="auto" w:after="20"/>
        <w:ind w:firstLine="283"/>
      </w:pPr>
      <w:r>
        <w:t>C. Publishes annual reports ranking all member jurisdictions based on their self-assessment of AML controls</w:t>
      </w:r>
    </w:p>
    <w:p>
      <w:pPr>
        <w:spacing w:line="360" w:lineRule="auto" w:after="20"/>
        <w:ind w:firstLine="283"/>
      </w:pPr>
      <w:r>
        <w:t>D. Conducts a peer review process whereby member countries assess the AML controls of other jurisdictions and recommend improvements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FATF互评估是成员国间的同行评审，不是制裁或自我排名</w:t>
      </w:r>
    </w:p>
    <w:p>
      <w:pPr>
        <w:spacing w:before="120" w:after="40"/>
      </w:pPr>
      <w:r>
        <w:rPr>
          <w:b/>
          <w:sz w:val="21"/>
          <w:shd w:fill="D6E4F0" w:val="clear"/>
        </w:rPr>
        <w:t>核心解析</w:t>
      </w:r>
    </w:p>
    <w:p>
      <w:pPr>
        <w:spacing w:line="360" w:lineRule="auto" w:after="40"/>
        <w:ind w:firstLine="420"/>
      </w:pPr>
      <w:r>
        <w:t>FATF互评估是成员国之间的同行评审，由来自其他司法管辖区的反洗钱/反恐怖融资当局进行正式审查，生成分析反洗钱程序及其有效性的详细报告，并包含加强被评估司法管辖区能力的建议</w:t>
      </w:r>
      <w:r>
        <w:rPr>
          <w:sz w:val="15"/>
          <w:vertAlign w:val="superscript"/>
        </w:rPr>
        <w:t>P153、P146</w:t>
      </w:r>
      <w:r>
        <w:t>。题干问的是互评估及后续跟进过程中FATF的做法，选项D“开展同行评审程序，成员国据此评估其他司法管辖区的反洗钱控制措施，并提出改进建议”直接照应这一定义，因此成立。</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教材指出，严重缺陷的司法管辖区会被列入黑名单，要求成员采取强化尽职调查和反制措施</w:t>
      </w:r>
      <w:r>
        <w:rPr>
          <w:sz w:val="15"/>
          <w:vertAlign w:val="superscript"/>
        </w:rPr>
        <w:t>P156</w:t>
      </w:r>
      <w:r>
        <w:t>，但经济制裁通常是由成员国根据FATF建议自主决定，而非FATF在互评估过程中直接实施。相比之下，D项的同行评审是互评估自身的核心机制，匹配度更高。</w:t>
      </w:r>
    </w:p>
    <w:p>
      <w:pPr>
        <w:spacing w:before="120" w:after="40"/>
      </w:pPr>
      <w:r>
        <w:rPr>
          <w:b/>
          <w:sz w:val="21"/>
          <w:shd w:fill="D6E4F0" w:val="clear"/>
        </w:rPr>
        <w:t>B项错误</w:t>
      </w:r>
    </w:p>
    <w:p>
      <w:pPr>
        <w:spacing w:line="360" w:lineRule="auto" w:after="40"/>
        <w:ind w:firstLine="420"/>
      </w:pPr>
      <w:r>
        <w:t>教材描述互评估中确有现场访问，但目的在于向被评估司法管辖区收集证据以判断反洗钱措施的有效性，属于对整个体系而非对个别金融机构的检查（P153-P154）。题干更直接地指向互评估的整体性质，同行评审概括了全过程，而B只截取了一个环节的目的偏差，不如D准确。</w:t>
      </w:r>
    </w:p>
    <w:p>
      <w:pPr>
        <w:spacing w:before="120" w:after="40"/>
      </w:pPr>
      <w:r>
        <w:rPr>
          <w:b/>
          <w:sz w:val="21"/>
          <w:shd w:fill="D6E4F0" w:val="clear"/>
        </w:rPr>
        <w:t>C项错误</w:t>
      </w:r>
    </w:p>
    <w:p>
      <w:pPr>
        <w:spacing w:line="360" w:lineRule="auto" w:after="40"/>
        <w:ind w:firstLine="420"/>
      </w:pPr>
      <w:r>
        <w:t>FATF发布互评估报告而非基于自我评估的年度排名。教材中提到的独立排名工具是巴塞尔反洗钱指数</w:t>
      </w:r>
      <w:r>
        <w:rPr>
          <w:sz w:val="15"/>
          <w:vertAlign w:val="superscript"/>
        </w:rPr>
        <w:t>P174</w:t>
      </w:r>
      <w:r>
        <w:t>，并非FATF互评估的产物。题干框架下缺乏支撑每年自我评估排名的要素，D的同行评审更吻合FATF实际做法。</w:t>
      </w:r>
    </w:p>
    <w:p>
      <w:pPr>
        <w:spacing w:before="120" w:after="40"/>
      </w:pPr>
      <w:r>
        <w:rPr>
          <w:b/>
          <w:sz w:val="21"/>
          <w:shd w:fill="D6E4F0" w:val="clear"/>
        </w:rPr>
        <w:t>易错提醒</w:t>
      </w:r>
    </w:p>
    <w:p>
      <w:pPr>
        <w:spacing w:line="360" w:lineRule="auto" w:after="40"/>
        <w:ind w:firstLine="420"/>
      </w:pPr>
      <w:r>
        <w:t>考生易将FATF互评估（同行评审，P153）与后续可能引发的“黑/灰名单”或制裁措施</w:t>
      </w:r>
      <w:r>
        <w:rPr>
          <w:sz w:val="15"/>
          <w:vertAlign w:val="superscript"/>
        </w:rPr>
        <w:t>P156</w:t>
      </w:r>
      <w:r>
        <w:t>混淆。互评估本身是评审和提出建议的过程，制裁与名单是发现缺陷后可能触发的额外后果，不属于互评估的程序本体。</w:t>
      </w:r>
    </w:p>
    <w:p>
      <w:pPr>
        <w:spacing w:line="360" w:lineRule="auto" w:after="120"/>
      </w:pPr>
      <w:r/>
    </w:p>
    <w:p>
      <w:pPr>
        <w:spacing w:line="360" w:lineRule="auto" w:after="40"/>
      </w:pPr>
      <w:r>
        <w:t>11. Which of the following measures is one that the FATF recommends that financial institutions and designated non-financial businesses and professions (DNFBPs) take to mitigate risks arising from business relationships with foreign politically exposed persons (PEPs)? ( )</w:t>
      </w:r>
    </w:p>
    <w:p>
      <w:pPr>
        <w:spacing w:line="360" w:lineRule="auto" w:after="20"/>
        <w:ind w:firstLine="283"/>
      </w:pPr>
      <w:r>
        <w:t>A. Raise transaction monitoring thresholds for PEP accounts in automated systems to account for higher transaction values and complex legal vehicles and financial structures</w:t>
      </w:r>
    </w:p>
    <w:p>
      <w:pPr>
        <w:spacing w:line="360" w:lineRule="auto" w:after="20"/>
        <w:ind w:firstLine="283"/>
      </w:pPr>
      <w:r>
        <w:t>B. Require approval from the prudential regulator for entering into or continuing the business relationship</w:t>
      </w:r>
    </w:p>
    <w:p>
      <w:pPr>
        <w:spacing w:line="360" w:lineRule="auto" w:after="20"/>
        <w:ind w:firstLine="283"/>
      </w:pPr>
      <w:r>
        <w:t>C. Subscribe to commercial databases to assist in identifying politically exposed persons (PEPs)</w:t>
      </w:r>
    </w:p>
    <w:p>
      <w:pPr>
        <w:spacing w:line="360" w:lineRule="auto" w:after="20"/>
        <w:ind w:firstLine="283"/>
      </w:pPr>
      <w:r>
        <w:t>D. Establish processes to understand the source of wealth of politically exposed persons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FATF对国外PEP的具体尽调要求：识别身份并验证财富/资金来源</w:t>
      </w:r>
    </w:p>
    <w:p>
      <w:pPr>
        <w:spacing w:before="120" w:after="40"/>
      </w:pPr>
      <w:r>
        <w:rPr>
          <w:b/>
          <w:sz w:val="21"/>
          <w:shd w:fill="D6E4F0" w:val="clear"/>
        </w:rPr>
        <w:t>核心解析</w:t>
      </w:r>
    </w:p>
    <w:p>
      <w:pPr>
        <w:spacing w:line="360" w:lineRule="auto" w:after="40"/>
        <w:ind w:firstLine="420"/>
      </w:pPr>
      <w:r>
        <w:t>金融行动特别工作组在其建议中，为金融机构与政治公众人物建立业务关系设定了明确的强化尽职调查义务。核心要求包括：识别出政治公众人物身份、获得高级管理层的批准才能开设账户，以及验证其财富来源和资金来源</w:t>
      </w:r>
      <w:r>
        <w:rPr>
          <w:sz w:val="15"/>
          <w:vertAlign w:val="superscript"/>
        </w:rPr>
        <w:t>P148</w:t>
      </w:r>
      <w:r>
        <w:t>。此外，强化尽职调查本身就被定义为更深入地核实财富来源和资金来源</w:t>
      </w:r>
      <w:r>
        <w:rPr>
          <w:sz w:val="15"/>
          <w:vertAlign w:val="superscript"/>
        </w:rPr>
        <w:t>P306</w:t>
      </w:r>
      <w:r>
        <w:t>。由于外国政治公众人物始终应被视为高风险客户</w:t>
      </w:r>
      <w:r>
        <w:rPr>
          <w:sz w:val="15"/>
          <w:vertAlign w:val="superscript"/>
        </w:rPr>
        <w:t>P320</w:t>
      </w:r>
      <w:r>
        <w:t>，题干所问的“降低风险”的关键举措，必然对应这些强制性规定。选项D“建立流程以了解政治公众人物的财富来源”，正是对“验证财富来源”这一要求的直接操作化，因此构成最准确的答案。</w:t>
      </w:r>
    </w:p>
    <w:p>
      <w:pPr>
        <w:spacing w:before="120" w:after="40"/>
      </w:pPr>
      <w:r>
        <w:rPr>
          <w:b/>
          <w:sz w:val="21"/>
          <w:shd w:fill="D6E4F0" w:val="clear"/>
        </w:rPr>
        <w:t>教材原句</w:t>
      </w:r>
    </w:p>
    <w:p>
      <w:pPr>
        <w:spacing w:line="360" w:lineRule="auto" w:after="40"/>
        <w:ind w:firstLine="420"/>
      </w:pPr>
      <w:r>
        <w:t>"financial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提高交易监控阈值意味着放宽监控标准，允许更高金额的交易不经审查。这与外国政治公众人物“始终应被视为高风险并接受强化尽职调查”的监管要求</w:t>
      </w:r>
      <w:r>
        <w:rPr>
          <w:sz w:val="15"/>
          <w:vertAlign w:val="superscript"/>
        </w:rPr>
        <w:t>P320</w:t>
      </w:r>
      <w:r>
        <w:t>在逻辑上完全相反。对高风险客户，监控应更严格而非更宽松，故该措施与题干降低风险的目标南辕北辙。</w:t>
      </w:r>
    </w:p>
    <w:p>
      <w:pPr>
        <w:spacing w:before="120" w:after="40"/>
      </w:pPr>
      <w:r>
        <w:rPr>
          <w:b/>
          <w:sz w:val="21"/>
          <w:shd w:fill="D6E4F0" w:val="clear"/>
        </w:rPr>
        <w:t>B项错误</w:t>
      </w:r>
    </w:p>
    <w:p>
      <w:pPr>
        <w:spacing w:line="360" w:lineRule="auto" w:after="40"/>
        <w:ind w:firstLine="420"/>
      </w:pPr>
      <w:r>
        <w:t>教材在陈述FATF建议时，明确要求与PEP建立业务关系需获得“高级管理层批准”</w:t>
      </w:r>
      <w:r>
        <w:rPr>
          <w:sz w:val="15"/>
          <w:vertAlign w:val="superscript"/>
        </w:rPr>
        <w:t>P148</w:t>
      </w:r>
      <w:r>
        <w:t>，而非“审慎监管机构”的批准。选项B将内部的管理审批权误置为外部的监管审批，在主体上不匹配，不符合教材对PEP开户流程的核心规定。</w:t>
      </w:r>
    </w:p>
    <w:p>
      <w:pPr>
        <w:spacing w:before="120" w:after="40"/>
      </w:pPr>
      <w:r>
        <w:rPr>
          <w:b/>
          <w:sz w:val="21"/>
          <w:shd w:fill="D6E4F0" w:val="clear"/>
        </w:rPr>
        <w:t>C项错误</w:t>
      </w:r>
    </w:p>
    <w:p>
      <w:pPr>
        <w:spacing w:line="360" w:lineRule="auto" w:after="40"/>
        <w:ind w:firstLine="420"/>
      </w:pPr>
      <w:r>
        <w:t>订阅商业数据库是识别客户是否为PEP的有效辅助工具</w:t>
      </w:r>
      <w:r>
        <w:rPr>
          <w:sz w:val="15"/>
          <w:vertAlign w:val="superscript"/>
        </w:rPr>
        <w:t>P466</w:t>
      </w:r>
      <w:r>
        <w:t>，但它解决的是“谁是PEP”的身份发现问题。题干问的是建立关系后“如何降低风险”，这指向开户后的实质审查措施。相比之下，了解财富来源（D项）直接回应了FATF关于验证资金合法性的尽职调查要求，比身份识别工具更贴近风险缓释的核心。</w:t>
      </w:r>
    </w:p>
    <w:p>
      <w:pPr>
        <w:spacing w:before="120" w:after="40"/>
      </w:pPr>
      <w:r>
        <w:rPr>
          <w:b/>
          <w:sz w:val="21"/>
          <w:shd w:fill="D6E4F0" w:val="clear"/>
        </w:rPr>
        <w:t>易错提醒</w:t>
      </w:r>
    </w:p>
    <w:p>
      <w:pPr>
        <w:spacing w:line="360" w:lineRule="auto" w:after="40"/>
        <w:ind w:firstLine="420"/>
      </w:pPr>
      <w:r>
        <w:t>“识别政治公众人物身份”和“对政治公众人物的强化尽职调查”容易被混为一谈。根据教材，前者依靠数据库等手段在建立关系时或定期筛查中完成</w:t>
      </w:r>
      <w:r>
        <w:rPr>
          <w:sz w:val="15"/>
          <w:vertAlign w:val="superscript"/>
        </w:rPr>
        <w:t>P466</w:t>
      </w:r>
      <w:r>
        <w:t>，属于发现风险敞口；而后者要求了解其财富和资金来源（P148, P306），属于评估和管理风险。题干问的是“降低”风险，更侧重评估与管理环节。</w:t>
      </w:r>
    </w:p>
    <w:p>
      <w:pPr>
        <w:spacing w:line="360" w:lineRule="auto" w:after="120"/>
      </w:pPr>
      <w:r/>
    </w:p>
    <w:p>
      <w:pPr>
        <w:spacing w:line="360" w:lineRule="auto" w:after="40"/>
      </w:pPr>
      <w:r>
        <w:t>12. How does the Financial Action Task Force (FATF) measure the effectiveness of a country's efforts to combat money laundering and terrorist financing? ( )</w:t>
      </w:r>
    </w:p>
    <w:p>
      <w:pPr>
        <w:spacing w:line="360" w:lineRule="auto" w:after="20"/>
        <w:ind w:firstLine="283"/>
      </w:pPr>
      <w:r>
        <w:t>A. FATF Evaluation Committee</w:t>
      </w:r>
    </w:p>
    <w:p>
      <w:pPr>
        <w:spacing w:line="360" w:lineRule="auto" w:after="20"/>
        <w:ind w:firstLine="283"/>
      </w:pPr>
      <w:r>
        <w:t>B. Series of internal audits followed by reporting to FATF</w:t>
      </w:r>
    </w:p>
    <w:p>
      <w:pPr>
        <w:spacing w:line="360" w:lineRule="auto" w:after="20"/>
        <w:ind w:firstLine="283"/>
      </w:pPr>
      <w:r>
        <w:t>C. Basel Committee</w:t>
      </w:r>
    </w:p>
    <w:p>
      <w:pPr>
        <w:spacing w:line="360" w:lineRule="auto" w:after="20"/>
        <w:ind w:firstLine="283"/>
      </w:pPr>
      <w:r>
        <w:t>D. Mutual evaluation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掌握FATF通过“相互评估”衡量成员国反洗钱与反恐怖融资成效的机制</w:t>
      </w:r>
    </w:p>
    <w:p>
      <w:pPr>
        <w:spacing w:before="120" w:after="40"/>
      </w:pPr>
      <w:r>
        <w:rPr>
          <w:b/>
          <w:sz w:val="21"/>
          <w:shd w:fill="D6E4F0" w:val="clear"/>
        </w:rPr>
        <w:t>核心解析</w:t>
      </w:r>
    </w:p>
    <w:p>
      <w:pPr>
        <w:spacing w:line="360" w:lineRule="auto" w:after="40"/>
        <w:ind w:firstLine="420"/>
      </w:pPr>
      <w:r>
        <w:t>FATF 相互评估是成员国之间进行的同行评审，通过深入报告分析一国反洗钱程序及其有效性</w:t>
      </w:r>
      <w:r>
        <w:rPr>
          <w:sz w:val="15"/>
          <w:vertAlign w:val="superscript"/>
        </w:rPr>
        <w:t>P153</w:t>
      </w:r>
      <w:r>
        <w:t>。同时，FATF 通过定期的相互评估来审查成员国对各建议的合规情况</w:t>
      </w:r>
      <w:r>
        <w:rPr>
          <w:sz w:val="15"/>
          <w:vertAlign w:val="superscript"/>
        </w:rPr>
        <w:t>P146</w:t>
      </w:r>
      <w:r>
        <w:t>。题干问的是 FATF 衡量一国打击洗钱和恐怖融资工作成效的方式，正对应于“相互评估”这一核心机制，因此“D. 相互评估”直接匹配教材定义。</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教材在描述互评估流程时提及选择专家组成评估团队，但并未说明存在一个常设的“评估委员会”作为衡量成效的主体。题干条件更直接匹配“相互评估”这一完整机制，而非一个未在教材中明确界定的委员会。</w:t>
      </w:r>
    </w:p>
    <w:p>
      <w:pPr>
        <w:spacing w:before="120" w:after="40"/>
      </w:pPr>
      <w:r>
        <w:rPr>
          <w:b/>
          <w:sz w:val="21"/>
          <w:shd w:fill="D6E4F0" w:val="clear"/>
        </w:rPr>
        <w:t>B项错误</w:t>
      </w:r>
    </w:p>
    <w:p>
      <w:pPr>
        <w:spacing w:line="360" w:lineRule="auto" w:after="40"/>
        <w:ind w:firstLine="420"/>
      </w:pPr>
      <w:r>
        <w:t>教材中的内部审计指机构评估自身合规计划有效性并向董事会报告</w:t>
      </w:r>
      <w:r>
        <w:rPr>
          <w:sz w:val="15"/>
          <w:vertAlign w:val="superscript"/>
        </w:rPr>
        <w:t>P255</w:t>
      </w:r>
      <w:r>
        <w:t>，属于机构内部治理的一部分。这与国家之间通过同行评审衡量反洗钱体系成效的机制层面不同，因此匹配度不如“相互评估”。</w:t>
      </w:r>
    </w:p>
    <w:p>
      <w:pPr>
        <w:spacing w:before="120" w:after="40"/>
      </w:pPr>
      <w:r>
        <w:rPr>
          <w:b/>
          <w:sz w:val="21"/>
          <w:shd w:fill="D6E4F0" w:val="clear"/>
        </w:rPr>
        <w:t>C项错误</w:t>
      </w:r>
    </w:p>
    <w:p>
      <w:pPr>
        <w:spacing w:line="360" w:lineRule="auto" w:after="40"/>
        <w:ind w:firstLine="420"/>
      </w:pPr>
      <w:r>
        <w:t>巴塞尔银行监管委员会是全球银行监管标准制定者</w:t>
      </w:r>
      <w:r>
        <w:rPr>
          <w:sz w:val="15"/>
          <w:vertAlign w:val="superscript"/>
        </w:rPr>
        <w:t>P165</w:t>
      </w:r>
      <w:r>
        <w:t>，其职能是加强银行监管而非直接代表 FATF 衡量各国反洗钱成效。题干主体为 FATF，选项主体与该主体不构成衡量与被衡量的关系。</w:t>
      </w:r>
    </w:p>
    <w:p>
      <w:pPr>
        <w:spacing w:before="120" w:after="40"/>
      </w:pPr>
      <w:r>
        <w:rPr>
          <w:b/>
          <w:sz w:val="21"/>
          <w:shd w:fill="D6E4F0" w:val="clear"/>
        </w:rPr>
        <w:t>易错提醒</w:t>
      </w:r>
    </w:p>
    <w:p>
      <w:pPr>
        <w:spacing w:line="360" w:lineRule="auto" w:after="40"/>
        <w:ind w:firstLine="420"/>
      </w:pPr>
      <w:r>
        <w:t>注意区分“内部审计”和“相互评估”：前者是机构内部对自身合规计划的检查</w:t>
      </w:r>
      <w:r>
        <w:rPr>
          <w:sz w:val="15"/>
          <w:vertAlign w:val="superscript"/>
        </w:rPr>
        <w:t>P255</w:t>
      </w:r>
      <w:r>
        <w:t>，后者是 FATF 框架下主权国家之间的同行评审</w:t>
      </w:r>
      <w:r>
        <w:rPr>
          <w:sz w:val="15"/>
          <w:vertAlign w:val="superscript"/>
        </w:rPr>
        <w:t>P153</w:t>
      </w:r>
      <w:r>
        <w:t>。题干要求的是 FATF 对国家层面的成效衡量，而非机构内部活动。</w:t>
      </w:r>
    </w:p>
    <w:p>
      <w:pPr>
        <w:spacing w:line="360" w:lineRule="auto" w:after="120"/>
      </w:pPr>
      <w:r/>
    </w:p>
    <w:p>
      <w:pPr>
        <w:spacing w:line="360" w:lineRule="auto" w:after="40"/>
      </w:pPr>
      <w:r>
        <w:t>13. The role of FATF-style regional bodies (FSRBs) is to: (Select three.) ( )</w:t>
      </w:r>
    </w:p>
    <w:p>
      <w:pPr>
        <w:spacing w:line="360" w:lineRule="auto" w:after="20"/>
        <w:ind w:firstLine="283"/>
      </w:pPr>
      <w:r>
        <w:t>A. Identify and address the current financial crime trends through the issuance of typologies originating in members outside of their FSRB's jurisdiction.</w:t>
      </w:r>
    </w:p>
    <w:p>
      <w:pPr>
        <w:spacing w:line="360" w:lineRule="auto" w:after="20"/>
        <w:ind w:firstLine="283"/>
      </w:pPr>
      <w:r>
        <w:t>B. Provide AML/CFT technical assistance needed by members in their FSRB jurisdiction.</w:t>
      </w:r>
    </w:p>
    <w:p>
      <w:pPr>
        <w:spacing w:line="360" w:lineRule="auto" w:after="20"/>
        <w:ind w:firstLine="283"/>
      </w:pPr>
      <w:r>
        <w:t>C. Coordinate technical assistance for members in their FSRB jurisdiction.</w:t>
      </w:r>
    </w:p>
    <w:p>
      <w:pPr>
        <w:spacing w:line="360" w:lineRule="auto" w:after="20"/>
        <w:ind w:firstLine="283"/>
      </w:pPr>
      <w:r>
        <w:t>D. Set and amend the FATF 40 Recommendations for members in their FSRB jurisdiction.</w:t>
      </w:r>
    </w:p>
    <w:p>
      <w:pPr>
        <w:spacing w:line="360" w:lineRule="auto" w:after="20"/>
        <w:ind w:firstLine="283"/>
      </w:pPr>
      <w:r>
        <w:t>E. Identify and address any gaps in the AML/CFT policies for members outside of their FSRB jurisdiction.</w:t>
      </w:r>
    </w:p>
    <w:p>
      <w:pPr>
        <w:spacing w:line="360" w:lineRule="auto" w:after="20"/>
        <w:ind w:firstLine="283"/>
      </w:pPr>
      <w:r>
        <w:t>F. Offer mutual evaluation and follow-up processes for members in their FSRB jurisdiction.</w:t>
      </w:r>
    </w:p>
    <w:p>
      <w:pPr>
        <w:spacing w:line="360" w:lineRule="auto" w:after="40"/>
      </w:pPr>
      <w:r>
        <w:t>答案：B、C、F</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FSRB 的核心职能与 FATF 的标准制定角色</w:t>
      </w:r>
    </w:p>
    <w:p>
      <w:pPr>
        <w:spacing w:before="120" w:after="40"/>
      </w:pPr>
      <w:r>
        <w:rPr>
          <w:b/>
          <w:sz w:val="21"/>
          <w:shd w:fill="D6E4F0" w:val="clear"/>
        </w:rPr>
        <w:t>核心解析</w:t>
      </w:r>
    </w:p>
    <w:p>
      <w:pPr>
        <w:spacing w:line="360" w:lineRule="auto" w:after="40"/>
        <w:ind w:firstLine="420"/>
      </w:pPr>
      <w:r>
        <w:t>FATF 式区域机构（FSRB）是协助实施 FATF 标准的自治区域组织</w:t>
      </w:r>
      <w:r>
        <w:rPr>
          <w:sz w:val="15"/>
          <w:vertAlign w:val="superscript"/>
        </w:rPr>
        <w:t>P145</w:t>
      </w:r>
      <w:r>
        <w:t>。FATF 虽然是唯一的标准制定机构</w:t>
      </w:r>
      <w:r>
        <w:rPr>
          <w:sz w:val="15"/>
          <w:vertAlign w:val="superscript"/>
        </w:rPr>
        <w:t>P145</w:t>
      </w:r>
      <w:r>
        <w:t>，但 FSRB 通过多种方式确保其区域内成员遵守国际反洗钱/反恐怖融资标准。教材明确列举 FSRB 的工作包括：向其成员提供技术援助</w:t>
      </w:r>
      <w:r>
        <w:rPr>
          <w:sz w:val="15"/>
          <w:vertAlign w:val="superscript"/>
        </w:rPr>
        <w:t>P145</w:t>
      </w:r>
      <w:r>
        <w:t>、协助进行相互评估</w:t>
      </w:r>
      <w:r>
        <w:rPr>
          <w:sz w:val="15"/>
          <w:vertAlign w:val="superscript"/>
        </w:rPr>
        <w:t>P145</w:t>
      </w:r>
      <w:r>
        <w:t>。此外，FSRB 与成员合作识别区域问题、分享经验并制定解决方案</w:t>
      </w:r>
      <w:r>
        <w:rPr>
          <w:sz w:val="15"/>
          <w:vertAlign w:val="superscript"/>
        </w:rPr>
        <w:t>P145</w:t>
      </w:r>
      <w:r>
        <w:t>，这一角色自然涵盖了协调对成员的技术援助。综合来看，“提供技术援助”（B）、“协调技术援助”（C）、“提供相互评估和后续流程”（F）三项均直接对应 FSRB 的职能，因此正确。</w:t>
      </w:r>
    </w:p>
    <w:p>
      <w:pPr>
        <w:spacing w:before="120" w:after="40"/>
      </w:pPr>
      <w:r>
        <w:rPr>
          <w:b/>
          <w:sz w:val="21"/>
          <w:shd w:fill="D6E4F0" w:val="clear"/>
        </w:rPr>
        <w:t>教材原句</w:t>
      </w:r>
    </w:p>
    <w:p>
      <w:pPr>
        <w:spacing w:line="360" w:lineRule="auto" w:after="40"/>
        <w:ind w:firstLine="420"/>
      </w:pPr>
      <w:r>
        <w:t>"FSRBs ensure global AML/CFT efforts remain effective by identifying and addressing threats to the financial system, facilitating regional cooperation, assisting with mutual evaluations, and providing technical assistance to their members."</w:t>
      </w:r>
    </w:p>
    <w:p>
      <w:pPr>
        <w:spacing w:before="120" w:after="40"/>
      </w:pPr>
      <w:r>
        <w:rPr>
          <w:b/>
          <w:sz w:val="21"/>
          <w:shd w:fill="D6E4F0" w:val="clear"/>
        </w:rPr>
        <w:t>A项错误</w:t>
      </w:r>
    </w:p>
    <w:p>
      <w:pPr>
        <w:spacing w:line="360" w:lineRule="auto" w:after="40"/>
        <w:ind w:firstLine="420"/>
      </w:pPr>
      <w:r>
        <w:t>选项 A 涉及发布类型学报告，但教材中 FSRB 发布的报告是针对“影响 FATF 成员”的类型学</w:t>
      </w:r>
      <w:r>
        <w:rPr>
          <w:sz w:val="15"/>
          <w:vertAlign w:val="superscript"/>
        </w:rPr>
        <w:t>P145</w:t>
      </w:r>
      <w:r>
        <w:t>，并不强调“管辖区域以外成员”；FSRB 的主要服务对象是其管辖区域内的成员，而非区域外成员，因此该选项与 FSRB 的职能范围匹配度较低。</w:t>
      </w:r>
    </w:p>
    <w:p>
      <w:pPr>
        <w:spacing w:before="120" w:after="40"/>
      </w:pPr>
      <w:r>
        <w:rPr>
          <w:b/>
          <w:sz w:val="21"/>
          <w:shd w:fill="D6E4F0" w:val="clear"/>
        </w:rPr>
        <w:t>D项错误</w:t>
      </w:r>
    </w:p>
    <w:p>
      <w:pPr>
        <w:spacing w:line="360" w:lineRule="auto" w:after="40"/>
        <w:ind w:firstLine="420"/>
      </w:pPr>
      <w:r>
        <w:t>教材明确指出 FATF 是唯一的标准制定机构</w:t>
      </w:r>
      <w:r>
        <w:rPr>
          <w:sz w:val="15"/>
          <w:vertAlign w:val="superscript"/>
        </w:rPr>
        <w:t>P145</w:t>
      </w:r>
      <w:r>
        <w:t>，FSRB 只采纳和实施 FATF 的 40 项建议，无权制定或修订这些建议。正确项 B、C、F 更直接地反映了 FSRB 的执行和协调职能，而非标准制定。</w:t>
      </w:r>
    </w:p>
    <w:p>
      <w:pPr>
        <w:spacing w:before="120" w:after="40"/>
      </w:pPr>
      <w:r>
        <w:rPr>
          <w:b/>
          <w:sz w:val="21"/>
          <w:shd w:fill="D6E4F0" w:val="clear"/>
        </w:rPr>
        <w:t>E项错误</w:t>
      </w:r>
    </w:p>
    <w:p>
      <w:pPr>
        <w:spacing w:line="360" w:lineRule="auto" w:after="40"/>
        <w:ind w:firstLine="420"/>
      </w:pPr>
      <w:r>
        <w:t>选项 E 将范围设定在“管辖区以外成员”，而 FSRB 的工作核心是服务其区域内的成员</w:t>
      </w:r>
      <w:r>
        <w:rPr>
          <w:sz w:val="15"/>
          <w:vertAlign w:val="superscript"/>
        </w:rPr>
        <w:t>P145</w:t>
      </w:r>
      <w:r>
        <w:t>。尽管 FSRB 会识别威胁，但更侧重于管辖区域内的问题，正确项 B、C、F 均明确限定在“管辖区域内”，与教材的界定吻合。</w:t>
      </w:r>
    </w:p>
    <w:p>
      <w:pPr>
        <w:spacing w:before="120" w:after="40"/>
      </w:pPr>
      <w:r>
        <w:rPr>
          <w:b/>
          <w:sz w:val="21"/>
          <w:shd w:fill="D6E4F0" w:val="clear"/>
        </w:rPr>
        <w:t>易错提醒</w:t>
      </w:r>
    </w:p>
    <w:p>
      <w:pPr>
        <w:spacing w:line="360" w:lineRule="auto" w:after="40"/>
        <w:ind w:firstLine="420"/>
      </w:pPr>
      <w:r>
        <w:t>易混淆点：FSRB 可以“采纳和实施”FATF 建议，但不能“制定和修订”这些建议</w:t>
      </w:r>
      <w:r>
        <w:rPr>
          <w:sz w:val="15"/>
          <w:vertAlign w:val="superscript"/>
        </w:rPr>
        <w:t>P145</w:t>
      </w:r>
      <w:r>
        <w:t>。另外，FSRB 主要服务其“管辖区域内”成员，考试中需注意区分区域内外。</w:t>
      </w:r>
    </w:p>
    <w:p>
      <w:pPr>
        <w:spacing w:line="360" w:lineRule="auto" w:after="120"/>
      </w:pPr>
      <w:r/>
    </w:p>
    <w:p>
      <w:pPr>
        <w:spacing w:line="360" w:lineRule="auto" w:after="40"/>
      </w:pPr>
      <w:r>
        <w:t>14. How can awareness be raised within countries that do not have sanctions regulatory regimes? (Select Two.) ( )</w:t>
      </w:r>
    </w:p>
    <w:p>
      <w:pPr>
        <w:spacing w:line="360" w:lineRule="auto" w:after="20"/>
        <w:ind w:firstLine="283"/>
      </w:pPr>
      <w:r>
        <w:t>A. Restrict trade between countries that have robust AML/CFT and sanctions regulatory regimes and those that do not.</w:t>
      </w:r>
    </w:p>
    <w:p>
      <w:pPr>
        <w:spacing w:line="360" w:lineRule="auto" w:after="20"/>
        <w:ind w:firstLine="283"/>
      </w:pPr>
      <w:r>
        <w:t>B. Conduct AFC (Anti-Financial Crime) and sanctions-related seminars, webinars, and training within these countries.</w:t>
      </w:r>
    </w:p>
    <w:p>
      <w:pPr>
        <w:spacing w:line="360" w:lineRule="auto" w:after="20"/>
        <w:ind w:firstLine="283"/>
      </w:pPr>
      <w:r>
        <w:t>C. Enforcement and pecuniary fines against these countries.</w:t>
      </w:r>
    </w:p>
    <w:p>
      <w:pPr>
        <w:spacing w:line="360" w:lineRule="auto" w:after="20"/>
        <w:ind w:firstLine="283"/>
      </w:pPr>
      <w:r>
        <w:t>D. Bilateral conversations and cooperation between governments.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区分提高制裁意识的能力建设方式与惩罚/限制措施</w:t>
      </w:r>
    </w:p>
    <w:p>
      <w:pPr>
        <w:spacing w:before="120" w:after="40"/>
      </w:pPr>
      <w:r>
        <w:rPr>
          <w:b/>
          <w:sz w:val="21"/>
          <w:shd w:fill="D6E4F0" w:val="clear"/>
        </w:rPr>
        <w:t>核心解析</w:t>
      </w:r>
    </w:p>
    <w:p>
      <w:pPr>
        <w:spacing w:line="360" w:lineRule="auto" w:after="40"/>
        <w:ind w:firstLine="420"/>
      </w:pPr>
      <w:r>
        <w:t>教材指出，FATF建议各国开展国家合作与协调</w:t>
      </w:r>
      <w:r>
        <w:rPr>
          <w:sz w:val="15"/>
          <w:vertAlign w:val="superscript"/>
        </w:rPr>
        <w:t>P147</w:t>
      </w:r>
      <w:r>
        <w:t>，并与全球机构合作加强反洗钱/反恐怖融资框架</w:t>
      </w:r>
      <w:r>
        <w:rPr>
          <w:sz w:val="15"/>
          <w:vertAlign w:val="superscript"/>
        </w:rPr>
        <w:t>P145</w:t>
      </w:r>
      <w:r>
        <w:t>。同时，开展员工反洗钱/反恐怖融资培训以提升意识是合规计划的重要组成部分</w:t>
      </w:r>
      <w:r>
        <w:rPr>
          <w:sz w:val="15"/>
          <w:vertAlign w:val="superscript"/>
        </w:rPr>
        <w:t>P255</w:t>
      </w:r>
      <w:r>
        <w:t>。对于缺乏制裁监管制度的国家，通过举办AFC和制裁相关的研讨会、网络研讨与培训（选项B）可以直接向公共和私营部门传播知识、培养能力；通过政府间双边对话与合作（选项D）可以引入国际经验、逐步建立制度框架。这两种方式均属于建设性的能力建设手段，与题干要求的“提高相关意识”直接匹配。</w:t>
      </w:r>
    </w:p>
    <w:p>
      <w:pPr>
        <w:spacing w:before="120" w:after="40"/>
      </w:pPr>
      <w:r>
        <w:rPr>
          <w:b/>
          <w:sz w:val="21"/>
          <w:shd w:fill="D6E4F0" w:val="clear"/>
        </w:rPr>
        <w:t>教材原句</w:t>
      </w:r>
    </w:p>
    <w:p>
      <w:pPr>
        <w:spacing w:line="360" w:lineRule="auto" w:after="40"/>
        <w:ind w:firstLine="420"/>
      </w:pPr>
      <w:r>
        <w:t>"Additionally, national cooperation and coordination are essential, requiring jurisdictions to establish AML/CFT policies informed by risk assessments."</w:t>
      </w:r>
    </w:p>
    <w:p>
      <w:pPr>
        <w:spacing w:before="120" w:after="40"/>
      </w:pPr>
      <w:r>
        <w:rPr>
          <w:b/>
          <w:sz w:val="21"/>
          <w:shd w:fill="D6E4F0" w:val="clear"/>
        </w:rPr>
        <w:t>A项错误</w:t>
      </w:r>
    </w:p>
    <w:p>
      <w:pPr>
        <w:spacing w:line="360" w:lineRule="auto" w:after="40"/>
        <w:ind w:firstLine="420"/>
      </w:pPr>
      <w:r>
        <w:t>教材强调通过国际协作与能力建设来提升意识，限制贸易属于制裁性工具，更适合已具备制裁制度的国家施行，而非在缺乏制度的国家中直接提高意识，因而匹配度不如培训与对话。</w:t>
      </w:r>
    </w:p>
    <w:p>
      <w:pPr>
        <w:spacing w:before="120" w:after="40"/>
      </w:pPr>
      <w:r>
        <w:rPr>
          <w:b/>
          <w:sz w:val="21"/>
          <w:shd w:fill="D6E4F0" w:val="clear"/>
        </w:rPr>
        <w:t>C项错误</w:t>
      </w:r>
    </w:p>
    <w:p>
      <w:pPr>
        <w:spacing w:line="360" w:lineRule="auto" w:after="40"/>
        <w:ind w:firstLine="420"/>
      </w:pPr>
      <w:r>
        <w:t>教材中罚款和执法行动是监管机构对已有制度下受监管实体使用的合规工具</w:t>
      </w:r>
      <w:r>
        <w:rPr>
          <w:sz w:val="15"/>
          <w:vertAlign w:val="superscript"/>
        </w:rPr>
        <w:t>P228</w:t>
      </w:r>
      <w:r>
        <w:t>，其目的是处罚不合规行为；对于尚无制裁监管制度的国家，缺乏执法基础且该手段并非以意识提升为导向，因此不如培训与对话更适配题干目标。</w:t>
      </w:r>
    </w:p>
    <w:p>
      <w:pPr>
        <w:spacing w:before="120" w:after="40"/>
      </w:pPr>
      <w:r>
        <w:rPr>
          <w:b/>
          <w:sz w:val="21"/>
          <w:shd w:fill="D6E4F0" w:val="clear"/>
        </w:rPr>
        <w:t>易错提醒</w:t>
      </w:r>
    </w:p>
    <w:p>
      <w:pPr>
        <w:spacing w:line="360" w:lineRule="auto" w:after="40"/>
        <w:ind w:firstLine="420"/>
      </w:pPr>
      <w:r>
        <w:t>强制措施与罚款可能被误解为提升意识的手段，但在反洗钱框架下，提升意识的核心是通过培训与国际合作进行能力建设（P144, P147, P255），强制措施属于监管执行工具，适用于已有制度下的执法</w:t>
      </w:r>
      <w:r>
        <w:rPr>
          <w:sz w:val="15"/>
          <w:vertAlign w:val="superscript"/>
        </w:rPr>
        <w:t>P228</w:t>
      </w:r>
      <w:r>
        <w:t>。区分点在于手段目的是主动建设知识还是事后惩罚，以及适用对象是否已具备相应法律基础。</w:t>
      </w:r>
    </w:p>
    <w:p>
      <w:pPr>
        <w:spacing w:line="360" w:lineRule="auto" w:after="120"/>
      </w:pPr>
      <w:r/>
    </w:p>
    <w:p>
      <w:pPr>
        <w:spacing w:line="360" w:lineRule="auto" w:after="40"/>
      </w:pPr>
      <w:r>
        <w:t>15. Which of the following are included in the 11 Immediate Outcomes outlined in the Financial Action Task Force (FATF) methodology for assessing technical compliance with the FATF Recommendations and the effectiveness of AML/CFT/CPF systems during mutual evaluations? (Select Three.) ( )</w:t>
      </w:r>
    </w:p>
    <w:p>
      <w:pPr>
        <w:spacing w:line="360" w:lineRule="auto" w:after="20"/>
        <w:ind w:firstLine="283"/>
      </w:pPr>
      <w:r>
        <w:t>A. International cooperation provides actionable information to use against criminals.</w:t>
      </w:r>
    </w:p>
    <w:p>
      <w:pPr>
        <w:spacing w:line="360" w:lineRule="auto" w:after="20"/>
        <w:ind w:firstLine="283"/>
      </w:pPr>
      <w:r>
        <w:t>B. Those convicted of money laundering offenses are denied access to basic banking services.</w:t>
      </w:r>
    </w:p>
    <w:p>
      <w:pPr>
        <w:spacing w:line="360" w:lineRule="auto" w:after="20"/>
        <w:ind w:firstLine="283"/>
      </w:pPr>
      <w:r>
        <w:t>C. Money laundering offenses are investigated and criminally prosecuted.</w:t>
      </w:r>
    </w:p>
    <w:p>
      <w:pPr>
        <w:spacing w:line="360" w:lineRule="auto" w:after="20"/>
        <w:ind w:firstLine="283"/>
      </w:pPr>
      <w:r>
        <w:t>D. Financial intelligence information is collected by relevant authorities and shared with FATF for further investigation.</w:t>
      </w:r>
    </w:p>
    <w:p>
      <w:pPr>
        <w:spacing w:line="360" w:lineRule="auto" w:after="20"/>
        <w:ind w:firstLine="283"/>
      </w:pPr>
      <w:r>
        <w:t>E. Supervisors effectively supervise financial institutions and non-bank financial institutions for risk-based AML/CFT implementation.</w:t>
      </w:r>
    </w:p>
    <w:p>
      <w:pPr>
        <w:spacing w:line="360" w:lineRule="auto" w:after="40"/>
      </w:pPr>
      <w:r>
        <w:t>答案：A、C、E</w:t>
      </w:r>
    </w:p>
    <w:p>
      <w:pPr>
        <w:spacing w:line="360" w:lineRule="auto" w:after="40"/>
      </w:pPr>
      <w:r>
        <w:t>解析：</w:t>
      </w:r>
    </w:p>
    <w:p>
      <w:pPr>
        <w:spacing w:before="120" w:after="40"/>
      </w:pPr>
      <w:r>
        <w:rPr>
          <w:b/>
          <w:sz w:val="21"/>
          <w:shd w:fill="D6E4F0" w:val="clear"/>
        </w:rPr>
        <w:t>考点</w:t>
      </w:r>
    </w:p>
    <w:p>
      <w:pPr>
        <w:spacing w:line="360" w:lineRule="auto" w:after="40"/>
        <w:ind w:firstLine="420"/>
      </w:pPr>
      <w:r>
        <w:t>识记FATF 11项直接成果（Immediate Outcomes）的具体内容</w:t>
      </w:r>
    </w:p>
    <w:p>
      <w:pPr>
        <w:spacing w:before="120" w:after="40"/>
      </w:pPr>
      <w:r>
        <w:rPr>
          <w:b/>
          <w:sz w:val="21"/>
          <w:shd w:fill="D6E4F0" w:val="clear"/>
        </w:rPr>
        <w:t>核心解析</w:t>
      </w:r>
    </w:p>
    <w:p>
      <w:pPr>
        <w:spacing w:line="360" w:lineRule="auto" w:after="40"/>
        <w:ind w:firstLine="420"/>
      </w:pPr>
      <w:r>
        <w:t>FATF在相互评估中采用11项直接目标（Immediate Outcomes, IO）来衡量AML/CFT/CPF体系的有效性，每项IO对应一个焦点领域和具体成果</w:t>
      </w:r>
      <w:r>
        <w:rPr>
          <w:sz w:val="15"/>
          <w:vertAlign w:val="superscript"/>
        </w:rPr>
        <w:t>P150</w:t>
      </w:r>
      <w:r>
        <w:t>。选项A“国际合作为打击犯罪分子提供可操作的信息”、选项C“洗钱犯罪行为受到调查并被提起刑事诉讼”和选项E“监管部门对金融机构和非银行金融机构及其基于风险的反洗钱/打击恐怖主义融资实施有效监管”均属于11项IO中的典型成果，分别对应国际合作、执法成效和监管有效性。因此A、C、E被包含在FATF的11项及时成果内。</w:t>
      </w:r>
    </w:p>
    <w:p>
      <w:pPr>
        <w:spacing w:before="120" w:after="40"/>
      </w:pPr>
      <w:r>
        <w:rPr>
          <w:b/>
          <w:sz w:val="21"/>
          <w:shd w:fill="D6E4F0" w:val="clear"/>
        </w:rPr>
        <w:t>教材原句</w:t>
      </w:r>
    </w:p>
    <w:p>
      <w:pPr>
        <w:spacing w:line="360" w:lineRule="auto" w:after="40"/>
        <w:ind w:firstLine="420"/>
      </w:pPr>
      <w:r>
        <w:t>"FATF measures and rates effectiveness using 11 Immediate Outcomes (IOs), with each IO receiving an effectiveness rating of low, moderate, substantial, or high."</w:t>
      </w:r>
    </w:p>
    <w:p>
      <w:pPr>
        <w:spacing w:before="120" w:after="40"/>
      </w:pPr>
      <w:r>
        <w:rPr>
          <w:b/>
          <w:sz w:val="21"/>
          <w:shd w:fill="D6E4F0" w:val="clear"/>
        </w:rPr>
        <w:t>B项错误</w:t>
      </w:r>
    </w:p>
    <w:p>
      <w:pPr>
        <w:spacing w:line="360" w:lineRule="auto" w:after="40"/>
        <w:ind w:firstLine="420"/>
      </w:pPr>
      <w:r>
        <w:t>选项B描述的是“去风险化”（de-risking）带来的金融排斥现象——即便客户未直接涉罪也可能失去银行服务</w:t>
      </w:r>
      <w:r>
        <w:rPr>
          <w:sz w:val="15"/>
          <w:vertAlign w:val="superscript"/>
        </w:rPr>
        <w:t>P365</w:t>
      </w:r>
      <w:r>
        <w:t>，这并非FATF评估有效性时的直接成果。正确项C聚焦于洗钱犯罪的调查与起诉，更匹配IO中关于执法行动成效的维度。</w:t>
      </w:r>
    </w:p>
    <w:p>
      <w:pPr>
        <w:spacing w:before="120" w:after="40"/>
      </w:pPr>
      <w:r>
        <w:rPr>
          <w:b/>
          <w:sz w:val="21"/>
          <w:shd w:fill="D6E4F0" w:val="clear"/>
        </w:rPr>
        <w:t>D项错误</w:t>
      </w:r>
    </w:p>
    <w:p>
      <w:pPr>
        <w:spacing w:line="360" w:lineRule="auto" w:after="40"/>
        <w:ind w:firstLine="420"/>
      </w:pPr>
      <w:r>
        <w:t>选项D将金融情报信息共享给FATF进行进一步调查，偏离了FATF的职能。FATF是制定标准和进行评估的政府间组织，不接收或调查金融情报</w:t>
      </w:r>
      <w:r>
        <w:rPr>
          <w:sz w:val="15"/>
          <w:vertAlign w:val="superscript"/>
        </w:rPr>
        <w:t>P144</w:t>
      </w:r>
      <w:r>
        <w:t>。教材中金融情报由各国FIU收集分析，并与执法机构共享</w:t>
      </w:r>
      <w:r>
        <w:rPr>
          <w:sz w:val="15"/>
          <w:vertAlign w:val="superscript"/>
        </w:rPr>
        <w:t>P228</w:t>
      </w:r>
      <w:r>
        <w:t>，并不直接提交FATF。正确项A强调的国际合作提供可操作信息，并不要求情报必须流向FATF，与IO的匹配度远高于D。</w:t>
      </w:r>
    </w:p>
    <w:p>
      <w:pPr>
        <w:spacing w:before="120" w:after="40"/>
      </w:pPr>
      <w:r>
        <w:rPr>
          <w:b/>
          <w:sz w:val="21"/>
          <w:shd w:fill="D6E4F0" w:val="clear"/>
        </w:rPr>
        <w:t>易错提醒</w:t>
      </w:r>
    </w:p>
    <w:p>
      <w:pPr>
        <w:spacing w:line="360" w:lineRule="auto" w:after="40"/>
        <w:ind w:firstLine="420"/>
      </w:pPr>
      <w:r>
        <w:t>FATF自身的角色是协调标准与相互评估，并不直接参与执法、调查或情报收集。其11项直接成果均是对国家层面AML/CFT体系有效性的评估维度，容易与FIU、执法机构的操作职责混淆。判断时需注意选项描述的主体是FATF还是国家当局。</w:t>
      </w:r>
    </w:p>
    <w:p>
      <w:pPr>
        <w:spacing w:line="360" w:lineRule="auto" w:after="120"/>
      </w:pPr>
      <w:r/>
    </w:p>
    <w:p>
      <w:pPr>
        <w:spacing w:line="360" w:lineRule="auto" w:after="40"/>
      </w:pPr>
      <w:r>
        <w:t>16. Which of the below statements are supported by the Financial Action Task Force (FATF) 40 Recommendations adopted in 2012? (Select Two.) ( )</w:t>
      </w:r>
    </w:p>
    <w:p>
      <w:pPr>
        <w:spacing w:line="360" w:lineRule="auto" w:after="20"/>
        <w:ind w:firstLine="283"/>
      </w:pPr>
      <w:r>
        <w:t>A. Customer privacy regulations should guide the development of due diligence and other money laundering and terrorist financing preventive measures.</w:t>
      </w:r>
    </w:p>
    <w:p>
      <w:pPr>
        <w:spacing w:line="360" w:lineRule="auto" w:after="20"/>
        <w:ind w:firstLine="283"/>
      </w:pPr>
      <w:r>
        <w:t>B. Nations should work toward implementing targeted financial sanctions in alignment with United Nations Security Council resolutions.</w:t>
      </w:r>
    </w:p>
    <w:p>
      <w:pPr>
        <w:spacing w:line="360" w:lineRule="auto" w:after="20"/>
        <w:ind w:firstLine="283"/>
      </w:pPr>
      <w:r>
        <w:t>C. Nations should take measures to ensure transparency of the beneficial ownership of legal persons.</w:t>
      </w:r>
    </w:p>
    <w:p>
      <w:pPr>
        <w:spacing w:line="360" w:lineRule="auto" w:after="20"/>
        <w:ind w:firstLine="283"/>
      </w:pPr>
      <w:r>
        <w:t>D. Nations should establish frameworks that take a risk-based approach to preventing and combating money laundering and terrorist financing activities.</w:t>
      </w:r>
    </w:p>
    <w:p>
      <w:pPr>
        <w:spacing w:line="360" w:lineRule="auto" w:after="20"/>
        <w:ind w:firstLine="283"/>
      </w:pPr>
      <w:r>
        <w:t>E. National governments must strive to build a uniform administrative and operational framework to investigate and prosecute crime.</w:t>
      </w:r>
    </w:p>
    <w:p>
      <w:pPr>
        <w:spacing w:line="360" w:lineRule="auto" w:after="20"/>
        <w:ind w:firstLine="283"/>
      </w:pPr>
      <w:r>
        <w:t>F. Supervisors should instruct financial institutions to establish appropriate frameworks to avoid accepting high-risk customers.</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识别FATF 40项建议中对定向金融制裁与受益所有权透明度的要求</w:t>
      </w:r>
    </w:p>
    <w:p>
      <w:pPr>
        <w:spacing w:before="120" w:after="40"/>
      </w:pPr>
      <w:r>
        <w:rPr>
          <w:b/>
          <w:sz w:val="21"/>
          <w:shd w:fill="D6E4F0" w:val="clear"/>
        </w:rPr>
        <w:t>核心解析</w:t>
      </w:r>
    </w:p>
    <w:p>
      <w:pPr>
        <w:spacing w:line="360" w:lineRule="auto" w:after="40"/>
        <w:ind w:firstLine="420"/>
      </w:pPr>
      <w:r>
        <w:t>FATF 40项建议明确要求“各辖区应遵循联合国安理会决议实施定向金融制裁，包括毫不迟延地冻结被指定个人或实体的资产”</w:t>
      </w:r>
      <w:r>
        <w:rPr>
          <w:sz w:val="15"/>
          <w:vertAlign w:val="superscript"/>
        </w:rPr>
        <w:t>P147</w:t>
      </w:r>
      <w:r>
        <w:t>，并专门设立“透明度与受益所有人”领域</w:t>
      </w:r>
      <w:r>
        <w:rPr>
          <w:sz w:val="15"/>
          <w:vertAlign w:val="superscript"/>
        </w:rPr>
        <w:t>P146</w:t>
      </w:r>
      <w:r>
        <w:t>，督促各国确立法人受益所有权的透明度。选项B完全对应定向金融制裁要求，选项C直接落入透明度与受益所有人范畴，两者均得到建议的正面支持。</w:t>
      </w:r>
    </w:p>
    <w:p>
      <w:pPr>
        <w:spacing w:before="120" w:after="40"/>
      </w:pPr>
      <w:r>
        <w:rPr>
          <w:b/>
          <w:sz w:val="21"/>
          <w:shd w:fill="D6E4F0" w:val="clear"/>
        </w:rPr>
        <w:t>教材原句</w:t>
      </w:r>
    </w:p>
    <w:p>
      <w:pPr>
        <w:spacing w:line="360" w:lineRule="auto" w:after="40"/>
        <w:ind w:firstLine="420"/>
      </w:pPr>
      <w:r>
        <w:t>"Jurisdictions should also implement targeted financial sanctions in compliance with UN Security Council resolutions; this includes freezing the assets of designated persons or entities without delay to combat the financing of terrorism."</w:t>
      </w:r>
    </w:p>
    <w:p>
      <w:pPr>
        <w:spacing w:before="120" w:after="40"/>
      </w:pPr>
      <w:r>
        <w:rPr>
          <w:b/>
          <w:sz w:val="21"/>
          <w:shd w:fill="D6E4F0" w:val="clear"/>
        </w:rPr>
        <w:t>A项错误</w:t>
      </w:r>
    </w:p>
    <w:p>
      <w:pPr>
        <w:spacing w:line="360" w:lineRule="auto" w:after="40"/>
        <w:ind w:firstLine="420"/>
      </w:pPr>
      <w:r>
        <w:t>FATF建议9要求金融机构保密法不得阻碍反洗钱措施实施，而非由客户隐私法规来指导尽职调查。选项A的表述与FATF精神相悖，匹配度远低于B、C。</w:t>
      </w:r>
    </w:p>
    <w:p>
      <w:pPr>
        <w:spacing w:before="120" w:after="40"/>
      </w:pPr>
      <w:r>
        <w:rPr>
          <w:b/>
          <w:sz w:val="21"/>
          <w:shd w:fill="D6E4F0" w:val="clear"/>
        </w:rPr>
        <w:t>D项错误</w:t>
      </w:r>
    </w:p>
    <w:p>
      <w:pPr>
        <w:spacing w:line="360" w:lineRule="auto" w:after="40"/>
        <w:ind w:firstLine="420"/>
      </w:pPr>
      <w:r>
        <w:t>FATF建议1和2要求各国采取风险为本方法实施措施，但未使用“建立以风险为基础的框架”这一措辞，其强调的是根据风险评估配置资源，不是一个独立的框架要求。相比B、C直接复现建议条款，D的契合度更弱。</w:t>
      </w:r>
    </w:p>
    <w:p>
      <w:pPr>
        <w:spacing w:before="120" w:after="40"/>
      </w:pPr>
      <w:r>
        <w:rPr>
          <w:b/>
          <w:sz w:val="21"/>
          <w:shd w:fill="D6E4F0" w:val="clear"/>
        </w:rPr>
        <w:t>E项错误</w:t>
      </w:r>
    </w:p>
    <w:p>
      <w:pPr>
        <w:spacing w:line="360" w:lineRule="auto" w:after="40"/>
        <w:ind w:firstLine="420"/>
      </w:pPr>
      <w:r>
        <w:t>FATF建议鼓励主管机关间协调合作，但未要求构建“统一的行政和运作框架”，“统一”一词过于绝对，而FATF允许各国依本国法律结构调整实施，因此该陈述不如B、C直接依托建议原文。</w:t>
      </w:r>
    </w:p>
    <w:p>
      <w:pPr>
        <w:spacing w:line="360" w:lineRule="auto" w:after="40"/>
        <w:ind w:firstLine="420"/>
      </w:pPr>
      <w:r>
        <w:t>F项错误：FATF建议要求对高风险客户采取强化尽职调查，而非指示金融机构“避免接纳”。选项F的主张偏离了FATF的风险管理思路，匹配度不如正确项。</w:t>
      </w:r>
    </w:p>
    <w:p>
      <w:pPr>
        <w:spacing w:before="120" w:after="40"/>
      </w:pPr>
      <w:r>
        <w:rPr>
          <w:b/>
          <w:sz w:val="21"/>
          <w:shd w:fill="D6E4F0" w:val="clear"/>
        </w:rPr>
        <w:t>易错提醒</w:t>
      </w:r>
    </w:p>
    <w:p>
      <w:pPr>
        <w:spacing w:line="360" w:lineRule="auto" w:after="40"/>
        <w:ind w:firstLine="420"/>
      </w:pPr>
      <w:r>
        <w:t>风险为本方法是FATF建议1确立的基本原则，贯穿所有措施，但并非一项具体的须实施措施。选用“建立以风险为基础的框架”可能偏离建议原文，而定向金融制裁和受益所有权透明度则是建议条款中明确开列的行动要求，在答题时应优先选择直接出于建议原文的陈述。</w:t>
      </w:r>
    </w:p>
    <w:p>
      <w:pPr>
        <w:spacing w:line="360" w:lineRule="auto" w:after="120"/>
      </w:pPr>
      <w:r/>
    </w:p>
    <w:p>
      <w:pPr>
        <w:spacing w:line="360" w:lineRule="auto" w:after="40"/>
      </w:pPr>
      <w:r>
        <w:t>17. Key functions of the Financial Action Task Force (FATF) include: (Select Three.) ( )</w:t>
      </w:r>
    </w:p>
    <w:p>
      <w:pPr>
        <w:spacing w:line="360" w:lineRule="auto" w:after="20"/>
        <w:ind w:firstLine="283"/>
      </w:pPr>
      <w:r>
        <w:t>A. Prosecuting non-cooperative jurisdictions</w:t>
      </w:r>
    </w:p>
    <w:p>
      <w:pPr>
        <w:spacing w:line="360" w:lineRule="auto" w:after="20"/>
        <w:ind w:firstLine="283"/>
      </w:pPr>
      <w:r>
        <w:t>B. Maintaining engagement with other international organizations and bodies</w:t>
      </w:r>
    </w:p>
    <w:p>
      <w:pPr>
        <w:spacing w:line="360" w:lineRule="auto" w:after="20"/>
        <w:ind w:firstLine="283"/>
      </w:pPr>
      <w:r>
        <w:t>C. Developing international standards to combat money laundering, terrorist financing, and proliferation financing</w:t>
      </w:r>
    </w:p>
    <w:p>
      <w:pPr>
        <w:spacing w:line="360" w:lineRule="auto" w:after="20"/>
        <w:ind w:firstLine="283"/>
      </w:pPr>
      <w:r>
        <w:t>D. Identifying and engaging with high-risk, non-cooperative jurisdictions with strategic deficiencies</w:t>
      </w:r>
    </w:p>
    <w:p>
      <w:pPr>
        <w:spacing w:line="360" w:lineRule="auto" w:after="20"/>
        <w:ind w:firstLine="283"/>
      </w:pPr>
      <w:r>
        <w:t>E. Suspending the membership of countries that perform poorly in mutual evaluations</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FATF的核心职能：制定反洗钱标准、识别高风险辖区、与其它国际组织合作</w:t>
      </w:r>
    </w:p>
    <w:p>
      <w:pPr>
        <w:spacing w:before="120" w:after="40"/>
      </w:pPr>
      <w:r>
        <w:rPr>
          <w:b/>
          <w:sz w:val="21"/>
          <w:shd w:fill="D6E4F0" w:val="clear"/>
        </w:rPr>
        <w:t>核心解析</w:t>
      </w:r>
    </w:p>
    <w:p>
      <w:pPr>
        <w:spacing w:line="360" w:lineRule="auto" w:after="40"/>
        <w:ind w:firstLine="420"/>
      </w:pPr>
      <w:r>
        <w:t>FATF成立于1989年，成立一年内即发布40项建议，为全球打击洗钱、恐怖融资和扩散融资制定国际标准</w:t>
      </w:r>
      <w:r>
        <w:rPr>
          <w:sz w:val="15"/>
          <w:vertAlign w:val="superscript"/>
        </w:rPr>
        <w:t>P144</w:t>
      </w:r>
      <w:r>
        <w:t>。同时，FATF通过全面审查流程识别存在战略缺陷的高风险、不合作司法管辖区，并与它们接触以推动整改</w:t>
      </w:r>
      <w:r>
        <w:rPr>
          <w:sz w:val="15"/>
          <w:vertAlign w:val="superscript"/>
        </w:rPr>
        <w:t>P155</w:t>
      </w:r>
      <w:r>
        <w:t>。此外，FATF与其它国际组织如世界银行和IMF保持密切联系，世界银行和IMF在FATF拥有观察员地位，双方在金融部门评估中纳入FATF合规要求</w:t>
      </w:r>
      <w:r>
        <w:rPr>
          <w:sz w:val="15"/>
          <w:vertAlign w:val="superscript"/>
        </w:rPr>
        <w:t>P163</w:t>
      </w:r>
      <w:r>
        <w:t>。因此，制定标准、识别并应对高风险辖区、与其它国际组织保持联系均是FATF的主要职能，对应选项B、C、D。</w:t>
      </w:r>
    </w:p>
    <w:p>
      <w:pPr>
        <w:spacing w:before="120" w:after="40"/>
      </w:pPr>
      <w:r>
        <w:rPr>
          <w:b/>
          <w:sz w:val="21"/>
          <w:shd w:fill="D6E4F0" w:val="clear"/>
        </w:rPr>
        <w:t>教材原句</w:t>
      </w:r>
    </w:p>
    <w:p>
      <w:pPr>
        <w:spacing w:line="360" w:lineRule="auto" w:after="40"/>
        <w:ind w:firstLine="420"/>
      </w:pPr>
      <w:r>
        <w:t>"Within a year of its founding, FATF issued its original 40 Recommendations setting forth guidance and a comprehensive action plan for fighting money laundering worldwide."</w:t>
      </w:r>
    </w:p>
    <w:p>
      <w:pPr>
        <w:spacing w:before="120" w:after="40"/>
      </w:pPr>
      <w:r>
        <w:rPr>
          <w:b/>
          <w:sz w:val="21"/>
          <w:shd w:fill="D6E4F0" w:val="clear"/>
        </w:rPr>
        <w:t>A项错误</w:t>
      </w:r>
    </w:p>
    <w:p>
      <w:pPr>
        <w:spacing w:line="360" w:lineRule="auto" w:after="40"/>
        <w:ind w:firstLine="420"/>
      </w:pPr>
      <w:r>
        <w:t>起诉不合作司法管辖区是成员国的义务，而非FATF本身。教材要求各辖区确保对洗钱和恐怖融资进行引渡，并在无法引渡时起诉本国国民</w:t>
      </w:r>
      <w:r>
        <w:rPr>
          <w:sz w:val="15"/>
          <w:vertAlign w:val="superscript"/>
        </w:rPr>
        <w:t>P149</w:t>
      </w:r>
      <w:r>
        <w:t>，这属于国家执法范畴。相比之下，FATF的职能更侧重于制定标准、评估合规和识别高风险辖区，而非直接行使检控权。</w:t>
      </w:r>
    </w:p>
    <w:p>
      <w:pPr>
        <w:spacing w:before="120" w:after="40"/>
      </w:pPr>
      <w:r>
        <w:rPr>
          <w:b/>
          <w:sz w:val="21"/>
          <w:shd w:fill="D6E4F0" w:val="clear"/>
        </w:rPr>
        <w:t>E项错误</w:t>
      </w:r>
    </w:p>
    <w:p>
      <w:pPr>
        <w:spacing w:line="360" w:lineRule="auto" w:after="40"/>
        <w:ind w:firstLine="420"/>
      </w:pPr>
      <w:r>
        <w:t>互评估表现不佳的管辖区会被列入FATF的灰名单或黑名单，而非被暂停成员资格</w:t>
      </w:r>
      <w:r>
        <w:rPr>
          <w:sz w:val="15"/>
          <w:vertAlign w:val="superscript"/>
        </w:rPr>
        <w:t>P156</w:t>
      </w:r>
      <w:r>
        <w:t>。教材未提及FATF有暂停成员资格的机制，其约束手段主要是公开名单和强化审查。因此，题干条件更支持D项“识别并应对”的职能，而非暂停会籍。</w:t>
      </w:r>
    </w:p>
    <w:p>
      <w:pPr>
        <w:spacing w:before="120" w:after="40"/>
      </w:pPr>
      <w:r>
        <w:rPr>
          <w:b/>
          <w:sz w:val="21"/>
          <w:shd w:fill="D6E4F0" w:val="clear"/>
        </w:rPr>
        <w:t>易错提醒</w:t>
      </w:r>
    </w:p>
    <w:p>
      <w:pPr>
        <w:spacing w:line="360" w:lineRule="auto" w:after="40"/>
        <w:ind w:firstLine="420"/>
      </w:pPr>
      <w:r>
        <w:t>FATF通过灰名单和黑名单施加压力，而非直接起诉或暂停成员资格。起诉是成员国的执法义务，暂停成员资格不是FATF的处置方式。记住FATF的核心手段是：标准制定、识别高风险辖区、与国际机构合作。</w:t>
      </w:r>
    </w:p>
    <w:p>
      <w:pPr>
        <w:spacing w:line="360" w:lineRule="auto" w:after="120"/>
      </w:pPr>
      <w:r/>
    </w:p>
    <w:p>
      <w:pPr>
        <w:spacing w:line="360" w:lineRule="auto" w:after="40"/>
      </w:pPr>
      <w:r>
        <w:t>18. The primary objectives of the Financial Action Task Force (FATF) are to: (Choose two.) ( )</w:t>
      </w:r>
    </w:p>
    <w:p>
      <w:pPr>
        <w:spacing w:line="360" w:lineRule="auto" w:after="20"/>
        <w:ind w:firstLine="283"/>
      </w:pPr>
      <w:r>
        <w:t>A. Evaluate and monitor compliance with the FATF standards and provide recommendations for improvement.</w:t>
      </w:r>
    </w:p>
    <w:p>
      <w:pPr>
        <w:spacing w:line="360" w:lineRule="auto" w:after="20"/>
        <w:ind w:firstLine="283"/>
      </w:pPr>
      <w:r>
        <w:t>B. Assist countries in implementing EU, UN, and regional sanctions regimes.</w:t>
      </w:r>
    </w:p>
    <w:p>
      <w:pPr>
        <w:spacing w:line="360" w:lineRule="auto" w:after="20"/>
        <w:ind w:firstLine="283"/>
      </w:pPr>
      <w:r>
        <w:t>C. Develop and promote international standards to prevent money laundering and terrorist financing.</w:t>
      </w:r>
    </w:p>
    <w:p>
      <w:pPr>
        <w:spacing w:line="360" w:lineRule="auto" w:after="20"/>
        <w:ind w:firstLine="283"/>
      </w:pPr>
      <w:r>
        <w:t>D. Conduct investigations into countries' legislation and laws to prevent them from being used for money laundering and terrorist financing.</w:t>
      </w:r>
    </w:p>
    <w:p>
      <w:pPr>
        <w:spacing w:line="360" w:lineRule="auto" w:after="20"/>
        <w:ind w:firstLine="283"/>
      </w:pPr>
      <w:r>
        <w:t>E. Ensure that countries follow its laws to maintain financial stability.</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FATF 两大核心职能：制定国际标准与评估实施情况</w:t>
      </w:r>
    </w:p>
    <w:p>
      <w:pPr>
        <w:spacing w:before="120" w:after="40"/>
      </w:pPr>
      <w:r>
        <w:rPr>
          <w:b/>
          <w:sz w:val="21"/>
          <w:shd w:fill="D6E4F0" w:val="clear"/>
        </w:rPr>
        <w:t>核心解析</w:t>
      </w:r>
    </w:p>
    <w:p>
      <w:pPr>
        <w:spacing w:line="360" w:lineRule="auto" w:after="40"/>
        <w:ind w:firstLine="420"/>
      </w:pPr>
      <w:r>
        <w:t>FATF 通过发布一系列建议来制定国际反洗钱与反恐怖融资标准</w:t>
      </w:r>
      <w:r>
        <w:rPr>
          <w:sz w:val="15"/>
          <w:vertAlign w:val="superscript"/>
        </w:rPr>
        <w:t>P144</w:t>
      </w:r>
      <w:r>
        <w:t>，并以此为基础开展评估实施等工作</w:t>
      </w:r>
      <w:r>
        <w:rPr>
          <w:sz w:val="15"/>
          <w:vertAlign w:val="superscript"/>
        </w:rPr>
        <w:t>P144</w:t>
      </w:r>
      <w:r>
        <w:t>。选项 C“制定并推广国际标准以防范洗钱和恐怖主义融资”直接对应 FATF 发布 40 项建议及反恐怖融资特别建议的标准制定职能；选项 A“评估并监督对 FATF 标准的遵守情况，并提出改进建议”直接对应 FATF 通过定期正式评估审查各辖区实施情况的监督职能。两者均属 FATF 成立以来一以贯之的核心目标，与教材所列主要工作方式完全吻合。</w:t>
      </w:r>
    </w:p>
    <w:p>
      <w:pPr>
        <w:spacing w:before="120" w:after="40"/>
      </w:pPr>
      <w:r>
        <w:rPr>
          <w:b/>
          <w:sz w:val="21"/>
          <w:shd w:fill="D6E4F0" w:val="clear"/>
        </w:rPr>
        <w:t>教材原句</w:t>
      </w:r>
    </w:p>
    <w:p>
      <w:pPr>
        <w:spacing w:line="360" w:lineRule="auto" w:after="40"/>
        <w:ind w:firstLine="420"/>
      </w:pPr>
      <w:r>
        <w:t>"In addition to setting standards through FATF Recommendations, FATF accomplishes its work through:"</w:t>
      </w:r>
    </w:p>
    <w:p>
      <w:pPr>
        <w:spacing w:before="120" w:after="40"/>
      </w:pPr>
      <w:r>
        <w:rPr>
          <w:b/>
          <w:sz w:val="21"/>
          <w:shd w:fill="D6E4F0" w:val="clear"/>
        </w:rPr>
        <w:t>B项错误</w:t>
      </w:r>
    </w:p>
    <w:p>
      <w:pPr>
        <w:spacing w:line="360" w:lineRule="auto" w:after="40"/>
        <w:ind w:firstLine="420"/>
      </w:pPr>
      <w:r>
        <w:t>教材在 P206 描述制裁制度时，将执行欧盟、联合国制裁归为安理会和欧盟成员国等主体的职责，FATF 章节未将协助执行制裁列为其主要目标。FATF 的工作重心是反洗钱/反恐怖融资标准的制定与评估，而非介入具体制裁制度的落实，因此选项 A、C 比 B 更直接匹配 FATF 的核心职能。</w:t>
      </w:r>
    </w:p>
    <w:p>
      <w:pPr>
        <w:spacing w:before="120" w:after="40"/>
      </w:pPr>
      <w:r>
        <w:rPr>
          <w:b/>
          <w:sz w:val="21"/>
          <w:shd w:fill="D6E4F0" w:val="clear"/>
        </w:rPr>
        <w:t>D项错误</w:t>
      </w:r>
    </w:p>
    <w:p>
      <w:pPr>
        <w:spacing w:line="360" w:lineRule="auto" w:after="40"/>
        <w:ind w:firstLine="420"/>
      </w:pPr>
      <w:r>
        <w:t>教材 P146 指出 FATF 进行的是“mutual evaluations”“reviews”，即通过互评估审查合规情况，属于评估与监督性质，而非执法式的“调查”（conduct investigations）。选项 A 的“评估并监督”在职能定位上比 D 项“进行调查”更吻合 FATF 的实际操作方式。</w:t>
      </w:r>
    </w:p>
    <w:p>
      <w:pPr>
        <w:spacing w:before="120" w:after="40"/>
      </w:pPr>
      <w:r>
        <w:rPr>
          <w:b/>
          <w:sz w:val="21"/>
          <w:shd w:fill="D6E4F0" w:val="clear"/>
        </w:rPr>
        <w:t>E项错误</w:t>
      </w:r>
    </w:p>
    <w:p>
      <w:pPr>
        <w:spacing w:line="360" w:lineRule="auto" w:after="40"/>
        <w:ind w:firstLine="420"/>
      </w:pPr>
      <w:r>
        <w:t>“确保遵守”暗示 FATF 拥有强制执行力，但 FATF 并无执法权；“维持金融稳定”在教材 P185 中被描述为各国金融监管机构（如 OCC、FRS）的目标，而非 FATF 反洗钱/反恐怖融资的核心任务。选项 C“制定并推广国际标准”和 A“评估并监督标准遵守情况”更直接体现 FATF 的本职角色。</w:t>
      </w:r>
    </w:p>
    <w:p>
      <w:pPr>
        <w:spacing w:before="120" w:after="40"/>
      </w:pPr>
      <w:r>
        <w:rPr>
          <w:b/>
          <w:sz w:val="21"/>
          <w:shd w:fill="D6E4F0" w:val="clear"/>
        </w:rPr>
        <w:t>易错提醒</w:t>
      </w:r>
    </w:p>
    <w:p>
      <w:pPr>
        <w:spacing w:line="360" w:lineRule="auto" w:after="40"/>
        <w:ind w:firstLine="420"/>
      </w:pPr>
      <w:r>
        <w:t>FATF 进行的是“评估”（evaluation/assessment）与“监督”（monitor），旨在衡量各辖区对标准的落实情况</w:t>
      </w:r>
      <w:r>
        <w:rPr>
          <w:sz w:val="15"/>
          <w:vertAlign w:val="superscript"/>
        </w:rPr>
        <w:t>P144、P146</w:t>
      </w:r>
      <w:r>
        <w:t>；而“调查”（investigation）是各国执法机构的职能，例如教材 P200 描述公安部负责调查洗钱犯罪。两者的主体、性质和手段均不同，FATF 不直接行使调查权。</w:t>
      </w:r>
    </w:p>
    <w:p>
      <w:pPr>
        <w:spacing w:line="360" w:lineRule="auto" w:after="120"/>
      </w:pPr>
      <w:r/>
    </w:p>
    <w:p>
      <w:pPr>
        <w:spacing w:line="360" w:lineRule="auto" w:after="40"/>
      </w:pPr>
      <w:r>
        <w:t>19. An AML analyst at a bank is investigating cases triggered by transaction monitoring alerts. Which circumstances might cause the analyst to suspect a case involves terrorist financing? (Select Two.) ( )</w:t>
      </w:r>
    </w:p>
    <w:p>
      <w:pPr>
        <w:spacing w:line="360" w:lineRule="auto" w:after="20"/>
        <w:ind w:firstLine="283"/>
      </w:pPr>
      <w:r>
        <w:t>A. Transactions involving non-profit organizations with no internet presence.</w:t>
      </w:r>
    </w:p>
    <w:p>
      <w:pPr>
        <w:spacing w:line="360" w:lineRule="auto" w:after="20"/>
        <w:ind w:firstLine="283"/>
      </w:pPr>
      <w:r>
        <w:t>B. Small-dollar payments sent to crowdfunding initiatives with detailed descriptions of the project being financed.</w:t>
      </w:r>
    </w:p>
    <w:p>
      <w:pPr>
        <w:spacing w:line="360" w:lineRule="auto" w:after="20"/>
        <w:ind w:firstLine="283"/>
      </w:pPr>
      <w:r>
        <w:t>C. Transactions involving structured currency deposits below the reporting threshold to avoid paying taxes.</w:t>
      </w:r>
    </w:p>
    <w:p>
      <w:pPr>
        <w:spacing w:line="360" w:lineRule="auto" w:after="20"/>
        <w:ind w:firstLine="283"/>
      </w:pPr>
      <w:r>
        <w:t>D. Small-dollar payments sent to higher-risk jurisdictions with no prior history.</w:t>
      </w:r>
    </w:p>
    <w:p>
      <w:pPr>
        <w:spacing w:line="360" w:lineRule="auto" w:after="20"/>
        <w:ind w:firstLine="283"/>
      </w:pPr>
      <w:r>
        <w:t>E. Transactions involving domestic non-profit organizations providing charitable assistance to refugees from high-risk countries.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通过交易特征识别恐怖主义融资风险指标</w:t>
      </w:r>
    </w:p>
    <w:p>
      <w:pPr>
        <w:spacing w:before="120" w:after="40"/>
      </w:pPr>
      <w:r>
        <w:rPr>
          <w:b/>
          <w:sz w:val="21"/>
          <w:shd w:fill="D6E4F0" w:val="clear"/>
        </w:rPr>
        <w:t>核心解析</w:t>
      </w:r>
    </w:p>
    <w:p>
      <w:pPr>
        <w:spacing w:line="360" w:lineRule="auto" w:after="40"/>
        <w:ind w:firstLine="420"/>
      </w:pPr>
      <w:r>
        <w:t>恐怖主义融资与普通洗钱的关键区别在于，前者可能使用合法来源的资金（如慈善捐款、商业收入），且交易金额通常较小，目的是支持恐怖活动而非隐藏大量非法利润。教材强调，各国应识别面临恐怖融资滥用风险的非营利组织（NPO）并采取风险为本的保护措施</w:t>
      </w:r>
      <w:r>
        <w:rPr>
          <w:sz w:val="15"/>
          <w:vertAlign w:val="superscript"/>
        </w:rPr>
        <w:t>P147</w:t>
      </w:r>
      <w:r>
        <w:t>。同时，交易监控中，大额交易、频繁转账或涉及高风险司法管辖区的交易可能触发警报</w:t>
      </w:r>
      <w:r>
        <w:rPr>
          <w:sz w:val="15"/>
          <w:vertAlign w:val="superscript"/>
        </w:rPr>
        <w:t>P329</w:t>
      </w:r>
      <w:r>
        <w:t>，高风险司法管辖区自身也是电汇风险的红旗信号</w:t>
      </w:r>
      <w:r>
        <w:rPr>
          <w:sz w:val="15"/>
          <w:vertAlign w:val="superscript"/>
        </w:rPr>
        <w:t>P78</w:t>
      </w:r>
      <w:r>
        <w:t>。在本题条件下，选项A中“无互联网存在的非营利组织”直接吻合教材对高风险NPO的识别框架——这类组织缺乏透明度，易被恐怖组织渗透或伪装。选项D中“向无过往记录的高风险司法管辖区汇出小额款项”同时满足两个教材列出的风险指标：小额汇往高风险地区</w:t>
      </w:r>
      <w:r>
        <w:rPr>
          <w:sz w:val="15"/>
          <w:vertAlign w:val="superscript"/>
        </w:rPr>
        <w:t>P329</w:t>
      </w:r>
      <w:r>
        <w:t>且无过往交易历史，这更符合恐怖融资“小额、隐秘、流向高风险区域”的典型模式，而非洗钱常见的大额结构化操作。综合来看，A和D在教材框架下更直接匹配恐怖融资的识别要件。</w:t>
      </w:r>
    </w:p>
    <w:p>
      <w:pPr>
        <w:spacing w:before="120" w:after="40"/>
      </w:pPr>
      <w:r>
        <w:rPr>
          <w:b/>
          <w:sz w:val="21"/>
          <w:shd w:fill="D6E4F0" w:val="clear"/>
        </w:rPr>
        <w:t>教材原句</w:t>
      </w:r>
    </w:p>
    <w:p>
      <w:pPr>
        <w:spacing w:line="360" w:lineRule="auto" w:after="40"/>
        <w:ind w:firstLine="420"/>
      </w:pPr>
      <w:r>
        <w:t>"jurisdictions should identify nonprofit organizations at risk of terrorist financing abuse and implement proportionate, risk-based measures to protect them"</w:t>
      </w:r>
    </w:p>
    <w:p>
      <w:pPr>
        <w:spacing w:before="120" w:after="40"/>
      </w:pPr>
      <w:r>
        <w:rPr>
          <w:b/>
          <w:sz w:val="21"/>
          <w:shd w:fill="D6E4F0" w:val="clear"/>
        </w:rPr>
        <w:t>B项错误</w:t>
      </w:r>
    </w:p>
    <w:p>
      <w:pPr>
        <w:spacing w:line="360" w:lineRule="auto" w:after="40"/>
        <w:ind w:firstLine="420"/>
      </w:pPr>
      <w:r>
        <w:t>教材虽提及众筹平台因去中心化和监管不足可能被滥用于洗钱，但其关注点在于资金来源难以追踪</w:t>
      </w:r>
      <w:r>
        <w:rPr>
          <w:sz w:val="15"/>
          <w:vertAlign w:val="superscript"/>
        </w:rPr>
        <w:t>P80</w:t>
      </w:r>
      <w:r>
        <w:t>。题干中“详细项目说明”这一要素表明该众筹活动有一定透明度，与恐怖融资常利用隐蔽、虚假掩护的特征吻合度不如A。相比之下，A更直接对应教材对恐怖融资滥用NPO的专门警示。</w:t>
      </w:r>
    </w:p>
    <w:p>
      <w:pPr>
        <w:spacing w:before="120" w:after="40"/>
      </w:pPr>
      <w:r>
        <w:rPr>
          <w:b/>
          <w:sz w:val="21"/>
          <w:shd w:fill="D6E4F0" w:val="clear"/>
        </w:rPr>
        <w:t>C项错误</w:t>
      </w:r>
    </w:p>
    <w:p>
      <w:pPr>
        <w:spacing w:line="360" w:lineRule="auto" w:after="40"/>
        <w:ind w:firstLine="420"/>
      </w:pPr>
      <w:r>
        <w:t>结构化交易（低于报告门槛的存款）的核心动机是规避现金交易报告，以隐藏犯罪所得。题干明确其目的是“逃避纳税”，这是典型的洗钱/逃税上游犯罪特征，而非恐怖融资。教材在区分两者时指出，洗钱关注隐藏非法资金的来源，而恐怖融资的资金可能来自合法渠道且目的不在营利（P36-P37）。在教材框架下，C更吻合洗钱的structuring定义，而非恐怖融资。</w:t>
      </w:r>
    </w:p>
    <w:p>
      <w:pPr>
        <w:spacing w:before="120" w:after="40"/>
      </w:pPr>
      <w:r>
        <w:rPr>
          <w:b/>
          <w:sz w:val="21"/>
          <w:shd w:fill="D6E4F0" w:val="clear"/>
        </w:rPr>
        <w:t>E项错误</w:t>
      </w:r>
    </w:p>
    <w:p>
      <w:pPr>
        <w:spacing w:line="360" w:lineRule="auto" w:after="40"/>
        <w:ind w:firstLine="420"/>
      </w:pPr>
      <w:r>
        <w:t>教材将慈善机构列为因跨境运营、资金量大且可能涉及恐怖融资而具有较高风险的实体</w:t>
      </w:r>
      <w:r>
        <w:rPr>
          <w:sz w:val="15"/>
          <w:vertAlign w:val="superscript"/>
        </w:rPr>
        <w:t>P82</w:t>
      </w:r>
      <w:r>
        <w:t>，但同时指出，恐怖融资可能利用合法的慈善捐款</w:t>
      </w:r>
      <w:r>
        <w:rPr>
          <w:sz w:val="15"/>
          <w:vertAlign w:val="superscript"/>
        </w:rPr>
        <w:t>P36</w:t>
      </w:r>
      <w:r>
        <w:t>。选项E描述的是国内NPO向高风险国家难民提供援助，这本身是合法且透明的慈善行为，缺乏“高风险NPO”的识别要素（如选项A中的无互联网存在、隐蔽性）。相比A和D，E所描述的交易具有明确的人道主义目的，与恐怖融资的风险指标匹配度更低。</w:t>
      </w:r>
    </w:p>
    <w:p>
      <w:pPr>
        <w:spacing w:before="120" w:after="40"/>
      </w:pPr>
      <w:r>
        <w:rPr>
          <w:b/>
          <w:sz w:val="21"/>
          <w:shd w:fill="D6E4F0" w:val="clear"/>
        </w:rPr>
        <w:t>易错提醒</w:t>
      </w:r>
    </w:p>
    <w:p>
      <w:pPr>
        <w:spacing w:line="360" w:lineRule="auto" w:after="40"/>
        <w:ind w:firstLine="420"/>
      </w:pPr>
      <w:r>
        <w:t>恐怖主义融资（Terrorist Financing）与洗钱（Money Laundering）的核心区分：前者资金可来自合法来源（如小额捐款、商业收入），目的在于支持恐怖活动，交易金额往往较小且刻意低调；后者专指掩盖非法资金来源（P36-P37），常伴随结构化、跨境大额转移等将非法收益“清洗”的行为。识别时关注资金目的和交易金额特征，而非仅看是否涉及NPO或高风险地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