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CH05 (EN)</w:t>
      </w:r>
    </w:p>
    <w:p>
      <w:pPr>
        <w:spacing w:line="360" w:lineRule="auto" w:after="160"/>
      </w:pPr>
      <w:r>
        <w:t>一、单项选择题</w:t>
      </w:r>
    </w:p>
    <w:p>
      <w:pPr>
        <w:spacing w:line="360" w:lineRule="auto" w:after="40"/>
      </w:pPr>
      <w:r>
        <w:t>1. Which non-governmental bodies typically issue information and guidance related to AML/CFT issues? (Choose two.) ( )</w:t>
      </w:r>
    </w:p>
    <w:p>
      <w:pPr>
        <w:spacing w:line="360" w:lineRule="auto" w:after="20"/>
        <w:ind w:firstLine="283"/>
      </w:pPr>
      <w:r>
        <w:t>A. Wolfsberg Group</w:t>
      </w:r>
    </w:p>
    <w:p>
      <w:pPr>
        <w:spacing w:line="360" w:lineRule="auto" w:after="20"/>
        <w:ind w:firstLine="283"/>
      </w:pPr>
      <w:r>
        <w:t>B. Transparency International</w:t>
      </w:r>
    </w:p>
    <w:p>
      <w:pPr>
        <w:spacing w:line="360" w:lineRule="auto" w:after="20"/>
        <w:ind w:firstLine="283"/>
      </w:pPr>
      <w:r>
        <w:t>C. Financial Action Task Force (FATF)</w:t>
      </w:r>
    </w:p>
    <w:p>
      <w:pPr>
        <w:spacing w:line="360" w:lineRule="auto" w:after="20"/>
        <w:ind w:firstLine="283"/>
      </w:pPr>
      <w:r>
        <w:t>D. Tax Justice Network</w:t>
      </w:r>
    </w:p>
    <w:p>
      <w:pPr>
        <w:spacing w:line="360" w:lineRule="auto" w:after="40"/>
      </w:pPr>
      <w:r>
        <w:t>答案：A、B</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区分政府间组织与非政府机构在AML/CFT指引中的发布主体</w:t>
      </w:r>
    </w:p>
    <w:p>
      <w:pPr>
        <w:spacing w:before="120" w:after="40"/>
      </w:pPr>
      <w:r>
        <w:rPr>
          <w:b/>
          <w:sz w:val="21"/>
          <w:shd w:fill="D6E4F0" w:val="clear"/>
        </w:rPr>
        <w:t>核心解析</w:t>
      </w:r>
    </w:p>
    <w:p>
      <w:pPr>
        <w:spacing w:line="360" w:lineRule="auto" w:after="40"/>
        <w:ind w:firstLine="420"/>
      </w:pPr>
      <w:r>
        <w:t>非政府机构指不由政府间协议成立的独立组织。教材将透明国际定义为“致力于制止腐败的非政府组织”</w:t>
      </w:r>
      <w:r>
        <w:rPr>
          <w:sz w:val="15"/>
          <w:vertAlign w:val="superscript"/>
        </w:rPr>
        <w:t>P172</w:t>
      </w:r>
      <w:r>
        <w:t>，其数据被巴塞尔AML指数用作反洗钱相关来源</w:t>
      </w:r>
      <w:r>
        <w:rPr>
          <w:sz w:val="15"/>
          <w:vertAlign w:val="superscript"/>
        </w:rPr>
        <w:t>P175</w:t>
      </w:r>
      <w:r>
        <w:t>。沃尔夫斯堡集团则是“由全球银行组成的协会，制定金融犯罪风险管理政策与指引”</w:t>
      </w:r>
      <w:r>
        <w:rPr>
          <w:sz w:val="15"/>
          <w:vertAlign w:val="superscript"/>
        </w:rPr>
        <w:t>P168</w:t>
      </w:r>
      <w:r>
        <w:t>，同样属于非政府机构。相比之下，FATF由七国集团政府于1989年成立，属于政府间国际组织</w:t>
      </w:r>
      <w:r>
        <w:rPr>
          <w:sz w:val="15"/>
          <w:vertAlign w:val="superscript"/>
        </w:rPr>
        <w:t>P144</w:t>
      </w:r>
      <w:r>
        <w:t>，不符合题干要求的“非政府机构”；税收正义网络虽为独立倡导组织</w:t>
      </w:r>
      <w:r>
        <w:rPr>
          <w:sz w:val="15"/>
          <w:vertAlign w:val="superscript"/>
        </w:rPr>
        <w:t>P175</w:t>
      </w:r>
      <w:r>
        <w:t>，但教材将其主要关联于税收正义领域，其发布的金融保密指数可作为金融机构风险方法的组成部分，却未如在狼堡集团和透明国际中那样被直接界定为典型的反洗钱/恐怖融资指引发布主体。题干要求选出两个非政府机构，狼堡集团和透明国际在教材中均明确属于非政府性质且直接发布反洗钱/反恐融资相关信息与指引，因此正确。</w:t>
      </w:r>
    </w:p>
    <w:p>
      <w:pPr>
        <w:spacing w:before="120" w:after="40"/>
      </w:pPr>
      <w:r>
        <w:rPr>
          <w:b/>
          <w:sz w:val="21"/>
          <w:shd w:fill="D6E4F0" w:val="clear"/>
        </w:rPr>
        <w:t>教材原句</w:t>
      </w:r>
    </w:p>
    <w:p>
      <w:pPr>
        <w:spacing w:line="360" w:lineRule="auto" w:after="40"/>
        <w:ind w:firstLine="420"/>
      </w:pPr>
      <w:r>
        <w:t>"Transparency International (TI) is a non-governmental organization committed to stopping corruption and promoting transparency, accountability, and integrity at both national and international levels."</w:t>
      </w:r>
    </w:p>
    <w:p>
      <w:pPr>
        <w:spacing w:before="120" w:after="40"/>
      </w:pPr>
      <w:r>
        <w:rPr>
          <w:b/>
          <w:sz w:val="21"/>
          <w:shd w:fill="D6E4F0" w:val="clear"/>
        </w:rPr>
        <w:t>C项错误</w:t>
      </w:r>
    </w:p>
    <w:p>
      <w:pPr>
        <w:spacing w:line="360" w:lineRule="auto" w:after="40"/>
        <w:ind w:firstLine="420"/>
      </w:pPr>
      <w:r>
        <w:t>FATF是由G7成立的政府间国际组织</w:t>
      </w:r>
      <w:r>
        <w:rPr>
          <w:sz w:val="15"/>
          <w:vertAlign w:val="superscript"/>
        </w:rPr>
        <w:t>P144</w:t>
      </w:r>
      <w:r>
        <w:t>，属于政府间机构而非非政府机构。题干要求的是非政府机构，相比之下，FATF的政府间性质与题干核心条件直接冲突，更不应在非政府机构的选择中入选。</w:t>
      </w:r>
    </w:p>
    <w:p>
      <w:pPr>
        <w:spacing w:before="120" w:after="40"/>
      </w:pPr>
      <w:r>
        <w:rPr>
          <w:b/>
          <w:sz w:val="21"/>
          <w:shd w:fill="D6E4F0" w:val="clear"/>
        </w:rPr>
        <w:t>D项错误</w:t>
      </w:r>
    </w:p>
    <w:p>
      <w:pPr>
        <w:spacing w:line="360" w:lineRule="auto" w:after="40"/>
        <w:ind w:firstLine="420"/>
      </w:pPr>
      <w:r>
        <w:t>税收正义网络是独立倡导组织</w:t>
      </w:r>
      <w:r>
        <w:rPr>
          <w:sz w:val="15"/>
          <w:vertAlign w:val="superscript"/>
        </w:rPr>
        <w:t>P175</w:t>
      </w:r>
      <w:r>
        <w:t>，虽发布金融保密指数等可辅助反洗钱风险评估，但教材将其主要聚焦于揭露避税、逃税和金融保密领域，未明确界定为反洗钱/反恐融资指引的典型发布主体。题干中狼堡集团和透明国际与反洗钱/反恐融资指引的直接关联度明显更高。</w:t>
      </w:r>
    </w:p>
    <w:p>
      <w:pPr>
        <w:spacing w:before="120" w:after="40"/>
      </w:pPr>
      <w:r>
        <w:rPr>
          <w:b/>
          <w:sz w:val="21"/>
          <w:shd w:fill="D6E4F0" w:val="clear"/>
        </w:rPr>
        <w:t>易错提醒</w:t>
      </w:r>
    </w:p>
    <w:p>
      <w:pPr>
        <w:spacing w:line="360" w:lineRule="auto" w:after="40"/>
        <w:ind w:firstLine="420"/>
      </w:pPr>
      <w:r>
        <w:t>政府间组织由主权国家通过协议成立，如FATF</w:t>
      </w:r>
      <w:r>
        <w:rPr>
          <w:sz w:val="15"/>
          <w:vertAlign w:val="superscript"/>
        </w:rPr>
        <w:t>P144</w:t>
      </w:r>
      <w:r>
        <w:t>；非政府机构不由政府间协议成立，如沃尔夫斯堡集团</w:t>
      </w:r>
      <w:r>
        <w:rPr>
          <w:sz w:val="15"/>
          <w:vertAlign w:val="superscript"/>
        </w:rPr>
        <w:t>P168</w:t>
      </w:r>
      <w:r>
        <w:t>、透明国际</w:t>
      </w:r>
      <w:r>
        <w:rPr>
          <w:sz w:val="15"/>
          <w:vertAlign w:val="superscript"/>
        </w:rPr>
        <w:t>P172</w:t>
      </w:r>
      <w:r>
        <w:t>。答题时应先判断主体成立依据是否带有“政府间”属性。</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