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CH06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 large international financial institution has operations in both the United States and the European Union. A cross-border transaction involving a high-net-worth customer with dual U.S. and French citizenship raises concerns because its intermediary institution is located in a high-risk jurisdiction. Given that the transaction is subject to the requirements of the U.S. Bank Secrecy Act (BSA), the U.S. Office of Foreign Assets Control (OFAC), the EU Sixth Anti-Money Laundering Directive (6AMLD), and European Banking Authority (EBA) regulations, what is the best action the compliance team should take to ensure compliance? ( )</w:t>
      </w:r>
    </w:p>
    <w:p>
      <w:pPr>
        <w:spacing w:line="360" w:lineRule="auto" w:after="20"/>
        <w:ind w:firstLine="283"/>
      </w:pPr>
      <w:r>
        <w:t>A. Follow only EU regulations because the beneficiary is located in France</w:t>
      </w:r>
    </w:p>
    <w:p>
      <w:pPr>
        <w:spacing w:line="360" w:lineRule="auto" w:after="20"/>
        <w:ind w:firstLine="283"/>
      </w:pPr>
      <w:r>
        <w:t>B. Implement a dual compliance approach that satisfies both U.S. and EU AFC requirements</w:t>
      </w:r>
    </w:p>
    <w:p>
      <w:pPr>
        <w:spacing w:line="360" w:lineRule="auto" w:after="20"/>
        <w:ind w:firstLine="283"/>
      </w:pPr>
      <w:r>
        <w:t>C. Follow the strictest regulatory regime to simplify the compliance process</w:t>
      </w:r>
    </w:p>
    <w:p>
      <w:pPr>
        <w:spacing w:line="360" w:lineRule="auto" w:after="20"/>
        <w:ind w:firstLine="283"/>
      </w:pPr>
      <w:r>
        <w:t>D. Follow only U.S. regulations because the transaction originated in the United States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跨境交易须同时满足所有涉及司法辖区的AFC合规要求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跨境合规要求金融机构协调多个司法管辖区的法律法规，不能只选择其中一个。教材在Hiroshi案例中明确指出，当跨境交易涉及美国和欧盟时，合规人员必须同时参考两个地区的AFC法规</w:t>
      </w:r>
      <w:r>
        <w:rPr>
          <w:sz w:val="15"/>
          <w:vertAlign w:val="superscript"/>
        </w:rPr>
        <w:t>P178</w:t>
      </w:r>
      <w:r>
        <w:t>。此外，金融机构须遵守FinCEN、OFAC、欧盟反洗钱指令等多个监管机构规定的金融犯罪防控义务</w:t>
      </w:r>
      <w:r>
        <w:rPr>
          <w:sz w:val="15"/>
          <w:vertAlign w:val="superscript"/>
        </w:rPr>
        <w:t>P319</w:t>
      </w:r>
      <w:r>
        <w:t>。本题中，金融机构同时在美欧运营，客户拥有美法双重国籍，交易触发美国BSA/OFAC和欧盟6AMLD/EBA的双重监管，最直接的做法是实施同时满足双方要求的双重合规方法，以全面覆盖所有适用法规。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"Hiroshi references the AFC regulations in both the US and EU because some of the cross-border transactions involve those jurisdictions."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教材强调跨境反洗钱合规需协调多个辖区的法律差异</w:t>
      </w:r>
      <w:r>
        <w:rPr>
          <w:sz w:val="15"/>
          <w:vertAlign w:val="superscript"/>
        </w:rPr>
        <w:t>P21</w:t>
      </w:r>
      <w:r>
        <w:t>，仅因受益人位于法国而忽视美国BSA/OFAC要求，会遗漏交易涉及的另一半监管框架，不如B项能完整覆盖所有适用法规。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教材指出不同司法管辖区标准差异较大，金融机构通常通过附加辖区附录来处理，而非简单采用最严格制度</w:t>
      </w:r>
      <w:r>
        <w:rPr>
          <w:sz w:val="15"/>
          <w:vertAlign w:val="superscript"/>
        </w:rPr>
        <w:t>P194</w:t>
      </w:r>
      <w:r>
        <w:t>。且题干并未要求简化流程，核心是确保合规，直接遵循最严格制度可能无法精准对接每一项具体要求，匹配度不如双重合规方法。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仅以交易起源于美国为由而忽略欧盟法规，与跨境交易须满足所有涉及辖区要求的原则相悖。题干明确列出欧盟法规适用，且客户有法国国籍，双重合规方法比单一辖区选择更契合教材所述的多辖区协调原则。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多辖区合规不是“选最严格”或“选一个”，而是确保控制措施同时覆盖所有适用辖区的法规要求</w:t>
      </w:r>
      <w:r>
        <w:rPr>
          <w:sz w:val="15"/>
          <w:vertAlign w:val="superscript"/>
        </w:rPr>
        <w:t>P194</w:t>
      </w:r>
      <w:r>
        <w:t>。当交易受多国法律管辖时，单一辖区路径必然导致合规缺口。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