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CH06 (EN)</w:t>
      </w:r>
    </w:p>
    <w:p>
      <w:pPr>
        <w:spacing w:line="360" w:lineRule="auto" w:after="160"/>
      </w:pPr>
      <w:r>
        <w:t>一、单项选择题</w:t>
      </w:r>
    </w:p>
    <w:p>
      <w:pPr>
        <w:spacing w:line="360" w:lineRule="auto" w:after="40"/>
      </w:pPr>
      <w:r>
        <w:t>1. Which principle about safeguarding privacy and data should an auditor adhere to when performing an AML investigation? ( )</w:t>
      </w:r>
    </w:p>
    <w:p>
      <w:pPr>
        <w:spacing w:line="360" w:lineRule="auto" w:after="20"/>
        <w:ind w:firstLine="283"/>
      </w:pPr>
      <w:r>
        <w:t>A. AML and data protection privacy laws should not be mutually exclusive</w:t>
      </w:r>
    </w:p>
    <w:p>
      <w:pPr>
        <w:spacing w:line="360" w:lineRule="auto" w:after="20"/>
        <w:ind w:firstLine="283"/>
      </w:pPr>
      <w:r>
        <w:t>B. During evidence gathering, privacy laws are less important than local AML laws</w:t>
      </w:r>
    </w:p>
    <w:p>
      <w:pPr>
        <w:spacing w:line="360" w:lineRule="auto" w:after="20"/>
        <w:ind w:firstLine="283"/>
      </w:pPr>
      <w:r>
        <w:t>C. Terrorist financing is more relevant in the context of data protection and supersedes laws</w:t>
      </w:r>
    </w:p>
    <w:p>
      <w:pPr>
        <w:spacing w:line="360" w:lineRule="auto" w:after="20"/>
        <w:ind w:firstLine="283"/>
      </w:pPr>
      <w:r>
        <w:t>D. Countries should clarify where AML and data protection privacy laws are not balanced</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反洗钱义务与数据隐私法须并存平衡，不可相互排斥</w:t>
      </w:r>
    </w:p>
    <w:p>
      <w:pPr>
        <w:spacing w:before="120" w:after="40"/>
      </w:pPr>
      <w:r>
        <w:rPr>
          <w:b/>
          <w:sz w:val="21"/>
          <w:shd w:fill="D6E4F0" w:val="clear"/>
        </w:rPr>
        <w:t>核心解析</w:t>
      </w:r>
    </w:p>
    <w:p>
      <w:pPr>
        <w:spacing w:line="360" w:lineRule="auto" w:after="40"/>
        <w:ind w:firstLine="420"/>
      </w:pPr>
      <w:r>
        <w:t>教材指出，组织必须同时遵守反洗钱义务和《通用数据保护条例》</w:t>
      </w:r>
      <w:r>
        <w:rPr>
          <w:sz w:val="15"/>
          <w:vertAlign w:val="superscript"/>
        </w:rPr>
        <w:t>P212</w:t>
      </w:r>
      <w:r>
        <w:t>。在处理客户身份数据以符合反洗钱/反恐怖融资要求时，若同时需遵循欧盟GDPR，则必须平衡两者</w:t>
      </w:r>
      <w:r>
        <w:rPr>
          <w:sz w:val="15"/>
          <w:vertAlign w:val="superscript"/>
        </w:rPr>
        <w:t>P263</w:t>
      </w:r>
      <w:r>
        <w:t>。换言之，反洗钱法和数据保护隐私法在设计与执行上不应将彼此视为互斥的存在，审计员在调查中既不能以反洗钱为由完全置隐私法于不顾，也不能用隐私法彻底阻却反洗钱调查，而应将两者视为需要协调并存的义务。选项A——“AML and data protection privacy laws should not be mutually exclusive”（反洗钱法和数据保护隐私法不应相互排斥）——正是对这一平衡原则的准确概括，直接吻合教材所确立的核心立场。</w:t>
      </w:r>
    </w:p>
    <w:p>
      <w:pPr>
        <w:spacing w:before="120" w:after="40"/>
      </w:pPr>
      <w:r>
        <w:rPr>
          <w:b/>
          <w:sz w:val="21"/>
          <w:shd w:fill="D6E4F0" w:val="clear"/>
        </w:rPr>
        <w:t>教材原句</w:t>
      </w:r>
    </w:p>
    <w:p>
      <w:pPr>
        <w:spacing w:line="360" w:lineRule="auto" w:after="40"/>
        <w:ind w:firstLine="420"/>
      </w:pPr>
      <w:r>
        <w:t>"Therefore, organizations must adhere to AML obligations and the GDPR."</w:t>
      </w:r>
    </w:p>
    <w:p>
      <w:pPr>
        <w:spacing w:before="120" w:after="40"/>
      </w:pPr>
      <w:r>
        <w:rPr>
          <w:b/>
          <w:sz w:val="21"/>
          <w:shd w:fill="D6E4F0" w:val="clear"/>
        </w:rPr>
        <w:t>B项错误</w:t>
      </w:r>
    </w:p>
    <w:p>
      <w:pPr>
        <w:spacing w:line="360" w:lineRule="auto" w:after="40"/>
        <w:ind w:firstLine="420"/>
      </w:pPr>
      <w:r>
        <w:t>教材通篇强调“平衡”而非“优先级排序”，从未给出隐私法在证据收集阶段低于反洗钱法的论断。正确项比它更直接体现教材反复强调的同时并存原则。</w:t>
      </w:r>
    </w:p>
    <w:p>
      <w:pPr>
        <w:spacing w:before="120" w:after="40"/>
      </w:pPr>
      <w:r>
        <w:rPr>
          <w:b/>
          <w:sz w:val="21"/>
          <w:shd w:fill="D6E4F0" w:val="clear"/>
        </w:rPr>
        <w:t>C项错误</w:t>
      </w:r>
    </w:p>
    <w:p>
      <w:pPr>
        <w:spacing w:line="360" w:lineRule="auto" w:after="40"/>
        <w:ind w:firstLine="420"/>
      </w:pPr>
      <w:r>
        <w:t>教材列举恐怖主义融资为反洗钱战略优先事项</w:t>
      </w:r>
      <w:r>
        <w:rPr>
          <w:sz w:val="15"/>
          <w:vertAlign w:val="superscript"/>
        </w:rPr>
        <w:t>P183</w:t>
      </w:r>
      <w:r>
        <w:t>及上游犯罪</w:t>
      </w:r>
      <w:r>
        <w:rPr>
          <w:sz w:val="15"/>
          <w:vertAlign w:val="superscript"/>
        </w:rPr>
        <w:t>P21</w:t>
      </w:r>
      <w:r>
        <w:t>，但从未论述其在数据保护语境下凌驾于法律之上。相比之下，正确项更吻合教材对两套法律体系应并存的反复强调。</w:t>
      </w:r>
    </w:p>
    <w:p>
      <w:pPr>
        <w:spacing w:before="120" w:after="40"/>
      </w:pPr>
      <w:r>
        <w:rPr>
          <w:b/>
          <w:sz w:val="21"/>
          <w:shd w:fill="D6E4F0" w:val="clear"/>
        </w:rPr>
        <w:t>D项错误</w:t>
      </w:r>
    </w:p>
    <w:p>
      <w:pPr>
        <w:spacing w:line="360" w:lineRule="auto" w:after="40"/>
        <w:ind w:firstLine="420"/>
      </w:pPr>
      <w:r>
        <w:t>教材着眼点在组织层面的“平衡义务”，而非要求各国政府去澄清哪条法律不平衡、哪里不平衡。题干给出的原则主体更接近审计员所在的组织，而非主权国家的立法角色。</w:t>
      </w:r>
    </w:p>
    <w:p>
      <w:pPr>
        <w:spacing w:before="120" w:after="40"/>
      </w:pPr>
      <w:r>
        <w:rPr>
          <w:b/>
          <w:sz w:val="21"/>
          <w:shd w:fill="D6E4F0" w:val="clear"/>
        </w:rPr>
        <w:t>易错提醒</w:t>
      </w:r>
    </w:p>
    <w:p>
      <w:pPr>
        <w:spacing w:line="360" w:lineRule="auto" w:after="40"/>
        <w:ind w:firstLine="420"/>
      </w:pPr>
      <w:r>
        <w:t>容易认为反洗钱调查时可以降低对隐私保护的要求，但教材在P212和P263给出的标准是“同时遵守”和“平衡”，不是谁让位于谁。把握“平衡”而非“优先级”，就能区分B和A。</w:t>
      </w:r>
    </w:p>
    <w:p>
      <w:pPr>
        <w:spacing w:line="360" w:lineRule="auto" w:after="120"/>
      </w:pPr>
      <w:r/>
    </w:p>
    <w:p>
      <w:pPr>
        <w:spacing w:line="360" w:lineRule="auto" w:after="40"/>
      </w:pPr>
      <w:r>
        <w:t>2. What is the primary advantage of using a risk-based approach in allocating compliance resources? ( )</w:t>
      </w:r>
    </w:p>
    <w:p>
      <w:pPr>
        <w:spacing w:line="360" w:lineRule="auto" w:after="20"/>
        <w:ind w:firstLine="283"/>
      </w:pPr>
      <w:r>
        <w:t>A. It reduces the overall cost of compliance programs.</w:t>
      </w:r>
    </w:p>
    <w:p>
      <w:pPr>
        <w:spacing w:line="360" w:lineRule="auto" w:after="20"/>
        <w:ind w:firstLine="283"/>
      </w:pPr>
      <w:r>
        <w:t>B. It eliminates the need for periodic audits of low-risk customers.</w:t>
      </w:r>
    </w:p>
    <w:p>
      <w:pPr>
        <w:spacing w:line="360" w:lineRule="auto" w:after="20"/>
        <w:ind w:firstLine="283"/>
      </w:pPr>
      <w:r>
        <w:t>C. It ensures focus on high-risk areas while maintaining operational efficiency.</w:t>
      </w:r>
    </w:p>
    <w:p>
      <w:pPr>
        <w:spacing w:line="360" w:lineRule="auto" w:after="20"/>
        <w:ind w:firstLine="283"/>
      </w:pPr>
      <w:r>
        <w:t>D. It standardizes compliance processes across all regions.</w:t>
      </w:r>
    </w:p>
    <w:p>
      <w:pPr>
        <w:spacing w:line="360" w:lineRule="auto" w:after="40"/>
      </w:pPr>
      <w:r>
        <w:t>答案：C</w:t>
      </w:r>
    </w:p>
    <w:p>
      <w:pPr>
        <w:spacing w:line="360" w:lineRule="auto" w:after="40"/>
      </w:pPr>
      <w:r>
        <w:t>解析：</w:t>
      </w:r>
    </w:p>
    <w:p>
      <w:pPr>
        <w:spacing w:before="120" w:after="40"/>
      </w:pPr>
      <w:r>
        <w:rPr>
          <w:b/>
          <w:sz w:val="21"/>
          <w:shd w:fill="D6E4F0" w:val="clear"/>
        </w:rPr>
        <w:t>考点</w:t>
      </w:r>
    </w:p>
    <w:p>
      <w:pPr>
        <w:spacing w:line="360" w:lineRule="auto" w:after="40"/>
        <w:ind w:firstLine="420"/>
      </w:pPr>
      <w:r>
        <w:t>风险为本方法的核心优势：聚焦高风险领域并保持运营效率</w:t>
      </w:r>
    </w:p>
    <w:p>
      <w:pPr>
        <w:spacing w:before="120" w:after="40"/>
      </w:pPr>
      <w:r>
        <w:rPr>
          <w:b/>
          <w:sz w:val="21"/>
          <w:shd w:fill="D6E4F0" w:val="clear"/>
        </w:rPr>
        <w:t>核心解析</w:t>
      </w:r>
    </w:p>
    <w:p>
      <w:pPr>
        <w:spacing w:line="360" w:lineRule="auto" w:after="40"/>
        <w:ind w:firstLine="420"/>
      </w:pPr>
      <w:r>
        <w:t>风险为本方法（RBA）指识别最高风险并优先分配资源以应对风险的过程</w:t>
      </w:r>
      <w:r>
        <w:rPr>
          <w:sz w:val="15"/>
          <w:vertAlign w:val="superscript"/>
        </w:rPr>
        <w:t>P381</w:t>
      </w:r>
      <w:r>
        <w:t>，其要义是将精力集中于最需要和影响最大的领域</w:t>
      </w:r>
      <w:r>
        <w:rPr>
          <w:sz w:val="15"/>
          <w:vertAlign w:val="superscript"/>
        </w:rPr>
        <w:t>P271</w:t>
      </w:r>
      <w:r>
        <w:t>。教材进一步说明，采用风险为本方法使组织能够优先对高风险客户、司法管辖区和服务投入资源，确保合规水平与风险程度相称</w:t>
      </w:r>
      <w:r>
        <w:rPr>
          <w:sz w:val="15"/>
          <w:vertAlign w:val="superscript"/>
        </w:rPr>
        <w:t>P218</w:t>
      </w:r>
      <w:r>
        <w:t>，从而在重点关注高风险的同时维持运营效率。题干问的是分配合规资源的“主要优势”，而C项“确保对高风险领域的关注，同时保持运营效率”直接对应了RBA在资源配置上聚焦高风险的核心理念，与教材多处定义完全吻合。</w:t>
      </w:r>
    </w:p>
    <w:p>
      <w:pPr>
        <w:spacing w:before="120" w:after="40"/>
      </w:pPr>
      <w:r>
        <w:rPr>
          <w:b/>
          <w:sz w:val="21"/>
          <w:shd w:fill="D6E4F0" w:val="clear"/>
        </w:rPr>
        <w:t>教材原句</w:t>
      </w:r>
    </w:p>
    <w:p>
      <w:pPr>
        <w:spacing w:line="360" w:lineRule="auto" w:after="40"/>
        <w:ind w:firstLine="420"/>
      </w:pPr>
      <w:r>
        <w:t>"The adoption of a risk-based approach enables organizations to prioritize resources on high-risk clients, jurisdictions, and services, ensuring that compliance levels are proportionate to the level of risk."</w:t>
      </w:r>
    </w:p>
    <w:p>
      <w:pPr>
        <w:spacing w:before="120" w:after="40"/>
      </w:pPr>
      <w:r>
        <w:rPr>
          <w:b/>
          <w:sz w:val="21"/>
          <w:shd w:fill="D6E4F0" w:val="clear"/>
        </w:rPr>
        <w:t>A项错误</w:t>
      </w:r>
    </w:p>
    <w:p>
      <w:pPr>
        <w:spacing w:line="360" w:lineRule="auto" w:after="40"/>
        <w:ind w:firstLine="420"/>
      </w:pPr>
      <w:r>
        <w:t>教材提到风险为本方法在实际中受预算等约束</w:t>
      </w:r>
      <w:r>
        <w:rPr>
          <w:sz w:val="15"/>
          <w:vertAlign w:val="superscript"/>
        </w:rPr>
        <w:t>P381</w:t>
      </w:r>
      <w:r>
        <w:t>，但其首要优势并非直接降低总成本，而是将有限资源优先匹配高风险领域以提升效率。相比C项直接契合教材定义的核心目的，A项的“降低总体成本”更偏间接或附带效果，与题干所问的“主要优势”匹配度稍弱。</w:t>
      </w:r>
    </w:p>
    <w:p>
      <w:pPr>
        <w:spacing w:before="120" w:after="40"/>
      </w:pPr>
      <w:r>
        <w:rPr>
          <w:b/>
          <w:sz w:val="21"/>
          <w:shd w:fill="D6E4F0" w:val="clear"/>
        </w:rPr>
        <w:t>B项错误</w:t>
      </w:r>
    </w:p>
    <w:p>
      <w:pPr>
        <w:spacing w:line="360" w:lineRule="auto" w:after="40"/>
        <w:ind w:firstLine="420"/>
      </w:pPr>
      <w:r>
        <w:t>风险为本方法并非忽略低风险领域，而是对最高风险投入更多资源</w:t>
      </w:r>
      <w:r>
        <w:rPr>
          <w:sz w:val="15"/>
          <w:vertAlign w:val="superscript"/>
        </w:rPr>
        <w:t>P276</w:t>
      </w:r>
      <w:r>
        <w:t>；对低风险客户，法规通常允许简化尽职调查而非完全消除审计</w:t>
      </w:r>
      <w:r>
        <w:rPr>
          <w:sz w:val="15"/>
          <w:vertAlign w:val="superscript"/>
        </w:rPr>
        <w:t>P200</w:t>
      </w:r>
      <w:r>
        <w:t>。因此，“消除定期审计”的表述过于绝对，与教材强调的“仍需处理其他风险”的理念不一致，而C项的“保持运营效率”在教材框架下更准确。</w:t>
      </w:r>
    </w:p>
    <w:p>
      <w:pPr>
        <w:spacing w:before="120" w:after="40"/>
      </w:pPr>
      <w:r>
        <w:rPr>
          <w:b/>
          <w:sz w:val="21"/>
          <w:shd w:fill="D6E4F0" w:val="clear"/>
        </w:rPr>
        <w:t>D项错误</w:t>
      </w:r>
    </w:p>
    <w:p>
      <w:pPr>
        <w:spacing w:line="360" w:lineRule="auto" w:after="40"/>
        <w:ind w:firstLine="420"/>
      </w:pPr>
      <w:r>
        <w:t>风险为本方法要求机构根据客户、产品和交易风险定制政策</w:t>
      </w:r>
      <w:r>
        <w:rPr>
          <w:sz w:val="15"/>
          <w:vertAlign w:val="superscript"/>
        </w:rPr>
        <w:t>P292</w:t>
      </w:r>
      <w:r>
        <w:t>，跨国机构甚至可能在某些司法辖区实施更高标准，而非将所有地区的流程一刀切地标准化。因此，D项与RBA的灵活、风险适配原则相悖，不如C项匹配教材对RBA优势的界定。</w:t>
      </w:r>
    </w:p>
    <w:p>
      <w:pPr>
        <w:spacing w:before="120" w:after="40"/>
      </w:pPr>
      <w:r>
        <w:rPr>
          <w:b/>
          <w:sz w:val="21"/>
          <w:shd w:fill="D6E4F0" w:val="clear"/>
        </w:rPr>
        <w:t>易错提醒</w:t>
      </w:r>
    </w:p>
    <w:p>
      <w:pPr>
        <w:spacing w:line="360" w:lineRule="auto" w:after="40"/>
        <w:ind w:firstLine="420"/>
      </w:pPr>
      <w:r>
        <w:t>学生容易将“效率提升”等同于“成本降低”，或误以为高风险聚焦必然“消除”低风险客户的审计。教材明确指出，RBA的核心是资源分配与风险相称，在优化效率的同时仍保留对低风险客户的适当监控</w:t>
      </w:r>
      <w:r>
        <w:rPr>
          <w:sz w:val="15"/>
          <w:vertAlign w:val="superscript"/>
        </w:rPr>
        <w:t>P276</w:t>
      </w:r>
      <w:r>
        <w:t>，且预算约束下可能只改变资源结构而不一定减少总支出</w:t>
      </w:r>
      <w:r>
        <w:rPr>
          <w:sz w:val="15"/>
          <w:vertAlign w:val="superscript"/>
        </w:rPr>
        <w:t>P381</w:t>
      </w:r>
      <w:r>
        <w:t>。因此，遇到类似题目应优先选择突出“聚焦高风险”和“效率”的选项，而非单纯强调成本削减或一刀切消除某项工作的选项。</w:t>
      </w:r>
    </w:p>
    <w:p>
      <w:pPr>
        <w:spacing w:line="360" w:lineRule="auto" w:after="120"/>
      </w:pPr>
      <w:r/>
    </w:p>
    <w:p>
      <w:pPr>
        <w:spacing w:line="360" w:lineRule="auto" w:after="40"/>
      </w:pPr>
      <w:r>
        <w:t>3. A global financial institution is conducting a comprehensive review of its due diligence processes to strengthen its defenses against financial crime. Recent incidents have highlighted vulnerabilities related to employee misconduct, including unauthorized transactions and sharing of sensitive customer information. Additionally, the FI has faced issues with third-party vendors who failed to meet compliance standards, leading to increased regulatory scrutiny. Which of the following measures would be most effective in addressing the bank's due diligence needs for employees, vendors, and third parties to mitigate insider threats and ensure compliance with AML regulations? ( )</w:t>
      </w:r>
    </w:p>
    <w:p>
      <w:pPr>
        <w:spacing w:line="360" w:lineRule="auto" w:after="20"/>
        <w:ind w:firstLine="283"/>
      </w:pPr>
      <w:r>
        <w:t>A. Relying on self-reported compliance certifications from vendors and employees to confirm adherence to AML standards on a periodic basis</w:t>
      </w:r>
    </w:p>
    <w:p>
      <w:pPr>
        <w:spacing w:line="360" w:lineRule="auto" w:after="20"/>
        <w:ind w:firstLine="283"/>
      </w:pPr>
      <w:r>
        <w:t>B. Establishing a surveillance program for employees, vendors, and third parties, including periodic risk assessments, access controls, and regular reviews of their compliance with AML policies</w:t>
      </w:r>
    </w:p>
    <w:p>
      <w:pPr>
        <w:spacing w:line="360" w:lineRule="auto" w:after="20"/>
        <w:ind w:firstLine="283"/>
      </w:pPr>
      <w:r>
        <w:t>C. Implementing background checks for employees and vendors prior to onboarding or the start of engagement to identify any red flags</w:t>
      </w:r>
    </w:p>
    <w:p>
      <w:pPr>
        <w:spacing w:line="360" w:lineRule="auto" w:after="20"/>
        <w:ind w:firstLine="283"/>
      </w:pPr>
      <w:r>
        <w:t>D. Limiting the number of vendors and third parties in high-risk jurisdictions in order to reduce exposure to compliance risks</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尽职调查需事前审查与持续监控并重</w:t>
      </w:r>
    </w:p>
    <w:p>
      <w:pPr>
        <w:spacing w:before="120" w:after="40"/>
      </w:pPr>
      <w:r>
        <w:rPr>
          <w:b/>
          <w:sz w:val="21"/>
          <w:shd w:fill="D6E4F0" w:val="clear"/>
        </w:rPr>
        <w:t>核心解析</w:t>
      </w:r>
    </w:p>
    <w:p>
      <w:pPr>
        <w:spacing w:line="360" w:lineRule="auto" w:after="40"/>
        <w:ind w:firstLine="420"/>
      </w:pPr>
      <w:r>
        <w:t>第三方风险管理要求金融机构对供应商进行事前尽职调查和持续监控</w:t>
      </w:r>
      <w:r>
        <w:rPr>
          <w:sz w:val="15"/>
          <w:vertAlign w:val="superscript"/>
        </w:rPr>
        <w:t>P210</w:t>
      </w:r>
      <w:r>
        <w:t>。有效的反洗钱项目也要求对员工进行定期、持续的培训与合规审查</w:t>
      </w:r>
      <w:r>
        <w:rPr>
          <w:sz w:val="15"/>
          <w:vertAlign w:val="superscript"/>
        </w:rPr>
        <w:t>P245</w:t>
      </w:r>
      <w:r>
        <w:t>，并建立定期审计与审查机制确保技术持续符合监管要求</w:t>
      </w:r>
      <w:r>
        <w:rPr>
          <w:sz w:val="15"/>
          <w:vertAlign w:val="superscript"/>
        </w:rPr>
        <w:t>P380</w:t>
      </w:r>
      <w:r>
        <w:t>。题干明确指出，该机构面临的漏洞既来自“员工不当行为”，也来自“第三方供应商未能达到合规标准”，这指向了一种需要同时覆盖员工和第三方、且能在关系存续期间持续发现问题的控制措施。选项B提出的监控计划包含定期风险评估、访问控制和对反洗钱政策遵守情况的定期审查，恰好对应了“事前评估+持续监控”的框架，能够贯穿员工和供应商的整个生命周期，而不是仅在某一时点发挥作用。相比之下，选项C仅限于入职时点的背景调查，选项A依赖自我报告缺乏独立验证，选项D仅限制数量而不涉及对现有关系的持续管理，因此B在覆盖范围和持续性上与题干的需求最吻合。</w:t>
      </w:r>
    </w:p>
    <w:p>
      <w:pPr>
        <w:spacing w:before="120" w:after="40"/>
      </w:pPr>
      <w:r>
        <w:rPr>
          <w:b/>
          <w:sz w:val="21"/>
          <w:shd w:fill="D6E4F0" w:val="clear"/>
        </w:rPr>
        <w:t>A项错误</w:t>
      </w:r>
    </w:p>
    <w:p>
      <w:pPr>
        <w:spacing w:line="360" w:lineRule="auto" w:after="40"/>
        <w:ind w:firstLine="420"/>
      </w:pPr>
      <w:r>
        <w:t>自我报告合规证明在教材框架下更多是辅助性手段，其可靠性不如独立、主动的监控计划。题干描述的问题包括员工“未经授权的交易”和“共享敏感客户信息”，这些行为本身就意味着当事人可能有意规避规则，依赖其自行报告合规情况缺乏保障。在教材对第三方风险管理和反洗钱项目的要求中，强调的是机构主动实施控制和审查，而非依赖被监督对象的自我声明。</w:t>
      </w:r>
    </w:p>
    <w:p>
      <w:pPr>
        <w:spacing w:before="120" w:after="40"/>
      </w:pPr>
      <w:r>
        <w:rPr>
          <w:b/>
          <w:sz w:val="21"/>
          <w:shd w:fill="D6E4F0" w:val="clear"/>
        </w:rPr>
        <w:t>C项错误</w:t>
      </w:r>
    </w:p>
    <w:p>
      <w:pPr>
        <w:spacing w:line="360" w:lineRule="auto" w:after="40"/>
        <w:ind w:firstLine="420"/>
      </w:pPr>
      <w:r>
        <w:t>背景调查是入职阶段的重要控制措施，教材要求所有新员工根据当地法律进行背景调查</w:t>
      </w:r>
      <w:r>
        <w:rPr>
          <w:sz w:val="15"/>
          <w:vertAlign w:val="superscript"/>
        </w:rPr>
        <w:t>P324</w:t>
      </w:r>
      <w:r>
        <w:t>，入职时对供应商及其代表进行尽职调查筛查</w:t>
      </w:r>
      <w:r>
        <w:rPr>
          <w:sz w:val="15"/>
          <w:vertAlign w:val="superscript"/>
        </w:rPr>
        <w:t>P324</w:t>
      </w:r>
      <w:r>
        <w:t>。但此项仅覆盖进入关系前的时点，无法应对入职后发生的不当行为。题干中的问题——未经授权的交易和共享客户信息——有可能发生在员工入职之后、供应商合作期间，单一的入职背景调查不能持续检测这些后续风险。</w:t>
      </w:r>
    </w:p>
    <w:p>
      <w:pPr>
        <w:spacing w:before="120" w:after="40"/>
      </w:pPr>
      <w:r>
        <w:rPr>
          <w:b/>
          <w:sz w:val="21"/>
          <w:shd w:fill="D6E4F0" w:val="clear"/>
        </w:rPr>
        <w:t>D项错误</w:t>
      </w:r>
    </w:p>
    <w:p>
      <w:pPr>
        <w:spacing w:line="360" w:lineRule="auto" w:after="40"/>
        <w:ind w:firstLine="420"/>
      </w:pPr>
      <w:r>
        <w:t>限制高风险辖区的供应商数量是一种风险偏好层面的策略选择，但教材对高风险辖区的处理更强调应用强化尽职调查措施</w:t>
      </w:r>
      <w:r>
        <w:rPr>
          <w:sz w:val="15"/>
          <w:vertAlign w:val="superscript"/>
        </w:rPr>
        <w:t>P148、P283</w:t>
      </w:r>
      <w:r>
        <w:t>，而非简单减少数量。题干中的问题根源是“员工不当行为”和“供应商未达标”，这些问题未必与司法管辖区有关，减少数量也不能替代对现有员工和供应商的日常监控与管理。</w:t>
      </w:r>
    </w:p>
    <w:p>
      <w:pPr>
        <w:spacing w:before="120" w:after="40"/>
      </w:pPr>
      <w:r>
        <w:rPr>
          <w:b/>
          <w:sz w:val="21"/>
          <w:shd w:fill="D6E4F0" w:val="clear"/>
        </w:rPr>
        <w:t>易错提醒</w:t>
      </w:r>
    </w:p>
    <w:p>
      <w:pPr>
        <w:spacing w:line="360" w:lineRule="auto" w:after="40"/>
        <w:ind w:firstLine="420"/>
      </w:pPr>
      <w:r>
        <w:t>背景调查（选项C）和持续监控计划（选项B）的关键区别在于时间维度：背景调查是入职时的一次性审查，解决“带病进入”的风险；持续监控贯穿整个关系周期，解决“进入后变坏”或“合规退化”的风险。题干同时提及员工和供应商两类主体已发生的问题，暗示风险来自关系存续期间，教材中“ongoing monitoring”</w:t>
      </w:r>
      <w:r>
        <w:rPr>
          <w:sz w:val="15"/>
          <w:vertAlign w:val="superscript"/>
        </w:rPr>
        <w:t>P210</w:t>
      </w:r>
      <w:r>
        <w:t>和“throughout the lifetime of the employee”</w:t>
      </w:r>
      <w:r>
        <w:rPr>
          <w:sz w:val="15"/>
          <w:vertAlign w:val="superscript"/>
        </w:rPr>
        <w:t>P324</w:t>
      </w:r>
      <w:r>
        <w:t>直接对应这一需求。</w:t>
      </w:r>
    </w:p>
    <w:p>
      <w:pPr>
        <w:spacing w:line="360" w:lineRule="auto" w:after="120"/>
      </w:pPr>
      <w:r/>
    </w:p>
    <w:p>
      <w:pPr>
        <w:spacing w:line="360" w:lineRule="auto" w:after="40"/>
      </w:pPr>
      <w:r>
        <w:t>4. According to FinCEN, which red flags within a bank account may, taken together, be indications of modern slavery, human trafficking, and exploitation? (Select two.) ( )</w:t>
      </w:r>
    </w:p>
    <w:p>
      <w:pPr>
        <w:spacing w:line="360" w:lineRule="auto" w:after="20"/>
        <w:ind w:firstLine="283"/>
      </w:pPr>
      <w:r>
        <w:t>A. Incoming fund transfers from third-party payment processors with limited originator information</w:t>
      </w:r>
    </w:p>
    <w:p>
      <w:pPr>
        <w:spacing w:line="360" w:lineRule="auto" w:after="20"/>
        <w:ind w:firstLine="283"/>
      </w:pPr>
      <w:r>
        <w:t>B. Transactional activity with a registered virtual currency exchange</w:t>
      </w:r>
    </w:p>
    <w:p>
      <w:pPr>
        <w:spacing w:line="360" w:lineRule="auto" w:after="20"/>
        <w:ind w:firstLine="283"/>
      </w:pPr>
      <w:r>
        <w:t>C. Large amounts of cash payments to migrant agricultural workers</w:t>
      </w:r>
    </w:p>
    <w:p>
      <w:pPr>
        <w:spacing w:line="360" w:lineRule="auto" w:after="20"/>
        <w:ind w:firstLine="283"/>
      </w:pPr>
      <w:r>
        <w:t>D. Frequent payments for online advertisements or non-local classified ads</w:t>
      </w:r>
    </w:p>
    <w:p>
      <w:pPr>
        <w:spacing w:line="360" w:lineRule="auto" w:after="40"/>
      </w:pPr>
      <w:r>
        <w:t>答案：A、D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识别人口贩运及现代奴役相关的银行账户红旗信号</w:t>
      </w:r>
    </w:p>
    <w:p>
      <w:pPr>
        <w:spacing w:before="120" w:after="40"/>
      </w:pPr>
      <w:r>
        <w:rPr>
          <w:b/>
          <w:sz w:val="21"/>
          <w:shd w:fill="D6E4F0" w:val="clear"/>
        </w:rPr>
        <w:t>核心解析</w:t>
      </w:r>
    </w:p>
    <w:p>
      <w:pPr>
        <w:spacing w:line="360" w:lineRule="auto" w:after="40"/>
        <w:ind w:firstLine="420"/>
      </w:pPr>
      <w:r>
        <w:t>洗钱常涉及人口贩运和现代奴隶制的收益</w:t>
      </w:r>
      <w:r>
        <w:rPr>
          <w:sz w:val="15"/>
          <w:vertAlign w:val="superscript"/>
        </w:rPr>
        <w:t>P217</w:t>
      </w:r>
      <w:r>
        <w:t>。这类犯罪的核心财务特征是：受害者身份被隐藏、资金控制权被剥夺、交易由第三方操控以切断可追踪的资金链路。选项A中“来自第三方支付处理商的资金转入，且附带的汇款人信息有限”直接对应第三方参与增加复杂性、使资金来源更难追踪这一红旗指标</w:t>
      </w:r>
      <w:r>
        <w:rPr>
          <w:sz w:val="15"/>
          <w:vertAlign w:val="superscript"/>
        </w:rPr>
        <w:t>P66</w:t>
      </w:r>
      <w:r>
        <w:t>，贩运者利用第三方处理商隐藏真正控制者的身份。选项D中“频繁支付在线广告或非本地分类广告费用”同样高度吻合人口贩运的运作模式——贩运者通过网络广告招揽或控制受害者，此类支付与受害人被剥削的目的直接相关。两个红旗信号结合，从“资金入口”和“运营支出”两个维度共同指向人口贩运活动。</w:t>
      </w:r>
    </w:p>
    <w:p>
      <w:pPr>
        <w:spacing w:before="120" w:after="40"/>
      </w:pPr>
      <w:r>
        <w:rPr>
          <w:b/>
          <w:sz w:val="21"/>
          <w:shd w:fill="D6E4F0" w:val="clear"/>
        </w:rPr>
        <w:t>教材原句</w:t>
      </w:r>
    </w:p>
    <w:p>
      <w:pPr>
        <w:spacing w:line="360" w:lineRule="auto" w:after="40"/>
        <w:ind w:firstLine="420"/>
      </w:pPr>
      <w:r>
        <w:t>"money laundering often involves the proceeds of human trafficking and modern slavery."</w:t>
      </w:r>
    </w:p>
    <w:p>
      <w:pPr>
        <w:spacing w:before="120" w:after="40"/>
      </w:pPr>
      <w:r>
        <w:rPr>
          <w:b/>
          <w:sz w:val="21"/>
          <w:shd w:fill="D6E4F0" w:val="clear"/>
        </w:rPr>
        <w:t>B项错误</w:t>
      </w:r>
    </w:p>
    <w:p>
      <w:pPr>
        <w:spacing w:line="360" w:lineRule="auto" w:after="40"/>
        <w:ind w:firstLine="420"/>
      </w:pPr>
      <w:r>
        <w:t>注册虚拟货币交易所属于受严格监管的VASP</w:t>
      </w:r>
      <w:r>
        <w:rPr>
          <w:sz w:val="15"/>
          <w:vertAlign w:val="superscript"/>
        </w:rPr>
        <w:t>P108</w:t>
      </w:r>
      <w:r>
        <w:t>，其交易本身在教材框架下并非人口贩运的特定指标。题干问的是现代奴役和人口贩运的红旗信号，教材中与贩运相关的风险更直接指向第三方隐藏资金来源（如A）或非透明的支付渠道，而非发生在受监管交易所的公开交易行为。</w:t>
      </w:r>
    </w:p>
    <w:p>
      <w:pPr>
        <w:spacing w:before="120" w:after="40"/>
      </w:pPr>
      <w:r>
        <w:rPr>
          <w:b/>
          <w:sz w:val="21"/>
          <w:shd w:fill="D6E4F0" w:val="clear"/>
        </w:rPr>
        <w:t>C项错误</w:t>
      </w:r>
    </w:p>
    <w:p>
      <w:pPr>
        <w:spacing w:line="360" w:lineRule="auto" w:after="40"/>
        <w:ind w:firstLine="420"/>
      </w:pPr>
      <w:r>
        <w:t>向农业流动工人支付现金这一场景，教材在毒品洗钱案例中提及过利用农业企业转移收益</w:t>
      </w:r>
      <w:r>
        <w:rPr>
          <w:sz w:val="15"/>
          <w:vertAlign w:val="superscript"/>
        </w:rPr>
        <w:t>P34</w:t>
      </w:r>
      <w:r>
        <w:t>，但该场景本身存在合理商业解释——农业用工天然涉及大量现金工资支付。题干要求识别的是人口贩运的剥削警示信号，单看大量现金支付，不如选项D（在线广告费用）更吻合贩运者控制受害者的典型模式。在缺乏额外异常指标（如资金来源不明、账户活动与雇主画像不匹配）的情况下，该项与贩运行为的匹配度相对较弱。</w:t>
      </w:r>
    </w:p>
    <w:p>
      <w:pPr>
        <w:spacing w:before="120" w:after="40"/>
      </w:pPr>
      <w:r>
        <w:rPr>
          <w:b/>
          <w:sz w:val="21"/>
          <w:shd w:fill="D6E4F0" w:val="clear"/>
        </w:rPr>
        <w:t>易错提醒</w:t>
      </w:r>
    </w:p>
    <w:p>
      <w:pPr>
        <w:spacing w:line="360" w:lineRule="auto" w:after="40"/>
        <w:ind w:firstLine="420"/>
      </w:pPr>
      <w:r>
        <w:t>选项C容易被误选，因为它涉及“劳工”和“现金”。区分关键在于：向工人支付现金是合法农业用工的常见做法，而人口贩运的红旗不在于“支付工资”，在于“控制受害者并通过特定渠道转移或消费其被剥削产生的收益”。如果题干问的是毒品洗钱，C可能关联（P34毒品收益通过农业企业转移）；但本题针对现代奴役，应优先选反映“控制手段”（如A中的信息隐藏）和“剥削链路”（如D中的广告招募）的选项。</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