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When assessing and managing money laundering risks while operating in foreign jurisdictions different from that of the head office, an effective AML monitoring program should: ( )</w:t>
      </w:r>
    </w:p>
    <w:p>
      <w:pPr>
        <w:spacing w:line="360" w:lineRule="auto" w:after="20"/>
        <w:ind w:firstLine="283"/>
      </w:pPr>
      <w:r>
        <w:t>A. Be consistent with the head office audits</w:t>
      </w:r>
    </w:p>
    <w:p>
      <w:pPr>
        <w:spacing w:line="360" w:lineRule="auto" w:after="20"/>
        <w:ind w:firstLine="283"/>
      </w:pPr>
      <w:r>
        <w:t>B. Be tailored to the higher of the standards between the jurisdictions</w:t>
      </w:r>
    </w:p>
    <w:p>
      <w:pPr>
        <w:spacing w:line="360" w:lineRule="auto" w:after="20"/>
        <w:ind w:firstLine="283"/>
      </w:pPr>
      <w:r>
        <w:t>C. Conform to the foreign jurisdiction policies to align with the head office policies</w:t>
      </w:r>
    </w:p>
    <w:p>
      <w:pPr>
        <w:spacing w:line="360" w:lineRule="auto" w:after="20"/>
        <w:ind w:firstLine="283"/>
      </w:pPr>
      <w:r>
        <w:t>D. Provide all foreign jurisdiction reports to the head office for approval</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跨境经营时采纳两地中更高反洗钱标准的规则</w:t>
      </w:r>
    </w:p>
    <w:p>
      <w:pPr>
        <w:spacing w:before="120" w:after="40"/>
      </w:pPr>
      <w:r>
        <w:rPr>
          <w:b/>
          <w:sz w:val="21"/>
          <w:shd w:fill="D6E4F0" w:val="clear"/>
        </w:rPr>
        <w:t>核心解析</w:t>
      </w:r>
    </w:p>
    <w:p>
      <w:pPr>
        <w:spacing w:line="360" w:lineRule="auto" w:after="40"/>
        <w:ind w:firstLine="420"/>
      </w:pPr>
      <w:r>
        <w:t>国际金融机构在多个司法管辖区运营时，会面临全球集团政策与当地反洗钱法规之间的协调问题。教材提供了一个明确的处理规则：若分支机构所在的当地反洗钱标准高于母国标准，金融机构应采用并记录这一更高标准</w:t>
      </w:r>
      <w:r>
        <w:rPr>
          <w:sz w:val="15"/>
          <w:vertAlign w:val="superscript"/>
        </w:rPr>
        <w:t>P194</w:t>
      </w:r>
      <w:r>
        <w:t>。教材以美国银行为例，当其在实行10%受益所有人识别规则的香港运营时，就需要在附录中记录此高于美国25%标准的当地要求</w:t>
      </w:r>
      <w:r>
        <w:rPr>
          <w:sz w:val="15"/>
          <w:vertAlign w:val="superscript"/>
        </w:rPr>
        <w:t>P194</w:t>
      </w:r>
      <w:r>
        <w:t>。这一逻辑也得到更广泛的支持：跨国组织为维持全球一致性，可能需要在某些司法管辖区实施更高标准</w:t>
      </w:r>
      <w:r>
        <w:rPr>
          <w:sz w:val="15"/>
          <w:vertAlign w:val="superscript"/>
        </w:rPr>
        <w:t>P292</w:t>
      </w:r>
      <w:r>
        <w:t>。题干所问的“有效的反洗钱监测计划”在标准不同的外国司法管辖区应如何制定，正需要遵循此“取高者”原则，即监测计划应量身定制，以符合两地中较高标准。</w:t>
      </w:r>
    </w:p>
    <w:p>
      <w:pPr>
        <w:spacing w:before="120" w:after="40"/>
      </w:pPr>
      <w:r>
        <w:rPr>
          <w:b/>
          <w:sz w:val="21"/>
          <w:shd w:fill="D6E4F0" w:val="clear"/>
        </w:rPr>
        <w:t>教材原句</w:t>
      </w:r>
    </w:p>
    <w:p>
      <w:pPr>
        <w:spacing w:line="360" w:lineRule="auto" w:after="40"/>
        <w:ind w:firstLine="420"/>
      </w:pPr>
      <w:r>
        <w:t>"If a jurisdiction in which a financial institution operates has a higher AML standard than its home jurisdiction, the financial institution should document this in the addendum."</w:t>
      </w:r>
    </w:p>
    <w:p>
      <w:pPr>
        <w:spacing w:before="120" w:after="40"/>
      </w:pPr>
      <w:r>
        <w:rPr>
          <w:b/>
          <w:sz w:val="21"/>
          <w:shd w:fill="D6E4F0" w:val="clear"/>
        </w:rPr>
        <w:t>A项错误</w:t>
      </w:r>
    </w:p>
    <w:p>
      <w:pPr>
        <w:spacing w:line="360" w:lineRule="auto" w:after="40"/>
        <w:ind w:firstLine="420"/>
      </w:pPr>
      <w:r>
        <w:t>审计是检验反洗钱项目有效性的独立评价活动，而题干的核心问题是监测计划本身的“标准”如何制定，而非如何接受审计。在教材框架下，题干更直接地指向了标准的协调与采纳规则，而非与审计部门的沟通机制。</w:t>
      </w:r>
    </w:p>
    <w:p>
      <w:pPr>
        <w:spacing w:before="120" w:after="40"/>
      </w:pPr>
      <w:r>
        <w:rPr>
          <w:b/>
          <w:sz w:val="21"/>
          <w:shd w:fill="D6E4F0" w:val="clear"/>
        </w:rPr>
        <w:t>C项错误</w:t>
      </w:r>
    </w:p>
    <w:p>
      <w:pPr>
        <w:spacing w:line="360" w:lineRule="auto" w:after="40"/>
        <w:ind w:firstLine="420"/>
      </w:pPr>
      <w:r>
        <w:t>此选项的逻辑与教材的“取高者”原则背道而驰。若外国司法管辖区的标准低于总部标准，仅仅遵守外国政策就可能导致标准下降，不足以支持一个“有效”的全球监测计划。题干支持的是寻求一种能够始终维持最高标准的方案。</w:t>
      </w:r>
    </w:p>
    <w:p>
      <w:pPr>
        <w:spacing w:before="120" w:after="40"/>
      </w:pPr>
      <w:r>
        <w:rPr>
          <w:b/>
          <w:sz w:val="21"/>
          <w:shd w:fill="D6E4F0" w:val="clear"/>
        </w:rPr>
        <w:t>D项错误</w:t>
      </w:r>
    </w:p>
    <w:p>
      <w:pPr>
        <w:spacing w:line="360" w:lineRule="auto" w:after="40"/>
        <w:ind w:firstLine="420"/>
      </w:pPr>
      <w:r>
        <w:t>将报告统一提交总部审批是一个操作流程问题，并未解决监测计划本身应采纳何种合规“标准”这一核心。此外，各司法管辖区有独特的报告规则和保密要求，一刀切地收回审批可能不符合当地法规，也不如直接采用更高标准来得有效。</w:t>
      </w:r>
    </w:p>
    <w:p>
      <w:pPr>
        <w:spacing w:before="120" w:after="40"/>
      </w:pPr>
      <w:r>
        <w:rPr>
          <w:b/>
          <w:sz w:val="21"/>
          <w:shd w:fill="D6E4F0" w:val="clear"/>
        </w:rPr>
        <w:t>易错提醒</w:t>
      </w:r>
    </w:p>
    <w:p>
      <w:pPr>
        <w:spacing w:line="360" w:lineRule="auto" w:after="40"/>
        <w:ind w:firstLine="420"/>
      </w:pPr>
      <w:r>
        <w:t>容易将“一致”理解为“与总部审计或政策保持一致”，而有效的跨境监测计划并非追求形式上的统一，而是追求实质上的更高标准。教材明确指出，当标准存在差异时，不是简单地统一采用某一方标准，而是要“在附录中记录更高标准”</w:t>
      </w:r>
      <w:r>
        <w:rPr>
          <w:sz w:val="15"/>
          <w:vertAlign w:val="superscript"/>
        </w:rPr>
        <w:t>P194</w:t>
      </w:r>
      <w:r>
        <w:t>，实现“在全球政策与当地附录之间取得平衡”</w:t>
      </w:r>
      <w:r>
        <w:rPr>
          <w:sz w:val="15"/>
          <w:vertAlign w:val="superscript"/>
        </w:rPr>
        <w:t>P194</w:t>
      </w:r>
      <w:r>
        <w:t>。</w:t>
      </w:r>
    </w:p>
    <w:p>
      <w:pPr>
        <w:spacing w:line="360" w:lineRule="auto" w:after="120"/>
      </w:pPr>
      <w:r/>
    </w:p>
    <w:p>
      <w:pPr>
        <w:spacing w:line="360" w:lineRule="auto" w:after="40"/>
      </w:pPr>
      <w:r>
        <w:t>2. Which step should financial institutions take when complying with sanctions requirements? ( )</w:t>
      </w:r>
    </w:p>
    <w:p>
      <w:pPr>
        <w:spacing w:line="360" w:lineRule="auto" w:after="20"/>
        <w:ind w:firstLine="283"/>
      </w:pPr>
      <w:r>
        <w:t>A. Change the risk profile to high-risk if an existing customer becomes a sanctioned entity and continue monitoring further transactions</w:t>
      </w:r>
    </w:p>
    <w:p>
      <w:pPr>
        <w:spacing w:line="360" w:lineRule="auto" w:after="20"/>
        <w:ind w:firstLine="283"/>
      </w:pPr>
      <w:r>
        <w:t>B. Adopt automatic screening systems to detect designated persons and entities</w:t>
      </w:r>
    </w:p>
    <w:p>
      <w:pPr>
        <w:spacing w:line="360" w:lineRule="auto" w:after="20"/>
        <w:ind w:firstLine="283"/>
      </w:pPr>
      <w:r>
        <w:t>C. Conduct enhanced due diligence for prohibited entities on the sanctions list</w:t>
      </w:r>
    </w:p>
    <w:p>
      <w:pPr>
        <w:spacing w:line="360" w:lineRule="auto" w:after="20"/>
        <w:ind w:firstLine="283"/>
      </w:pPr>
      <w:r>
        <w:t>D. Freeze the funds or assets of designated persons and entities once this decision is approved by the board</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制裁筛查中自动化工具识别指定实体的步序要求</w:t>
      </w:r>
    </w:p>
    <w:p>
      <w:pPr>
        <w:spacing w:before="120" w:after="40"/>
      </w:pPr>
      <w:r>
        <w:rPr>
          <w:b/>
          <w:sz w:val="21"/>
          <w:shd w:fill="D6E4F0" w:val="clear"/>
        </w:rPr>
        <w:t>核心解析</w:t>
      </w:r>
    </w:p>
    <w:p>
      <w:pPr>
        <w:spacing w:line="360" w:lineRule="auto" w:after="40"/>
        <w:ind w:firstLine="420"/>
      </w:pPr>
      <w:r>
        <w:t>教材规定，金融机构和DNFBP必须根据联合国、阿联酋和FATF制裁名单实施制裁筛查计划</w:t>
      </w:r>
      <w:r>
        <w:rPr>
          <w:sz w:val="15"/>
          <w:vertAlign w:val="superscript"/>
        </w:rPr>
        <w:t>P203</w:t>
      </w:r>
      <w:r>
        <w:t>。在技术实现层面，金融机构使用高级筛查工具来对照制裁名单监控交易</w:t>
      </w:r>
      <w:r>
        <w:rPr>
          <w:sz w:val="15"/>
          <w:vertAlign w:val="superscript"/>
        </w:rPr>
        <w:t>P433</w:t>
      </w:r>
      <w:r>
        <w:t>，并且在每笔交易中都必须筛查以检测制裁风险</w:t>
      </w:r>
      <w:r>
        <w:rPr>
          <w:sz w:val="15"/>
          <w:vertAlign w:val="superscript"/>
        </w:rPr>
        <w:t>P306</w:t>
      </w:r>
      <w:r>
        <w:t>。题干问的是金融机构遵守制裁要求时应采取的步骤，这里的逻辑链是：合规要求→筛查制裁名单→采用自动化筛查系统来执行。选项B“采用自动筛查系统来识别指定人员和实体”直接命中这一流程链条——筛查系统是识别指定人员和实体的技术手段，也是实施制裁筛查程序的具体步骤。相比而言，其他选项或偏离了制裁场景下的正确处理流程，或引入了题干未要求的额外条件。</w:t>
      </w:r>
    </w:p>
    <w:p>
      <w:pPr>
        <w:spacing w:before="120" w:after="40"/>
      </w:pPr>
      <w:r>
        <w:rPr>
          <w:b/>
          <w:sz w:val="21"/>
          <w:shd w:fill="D6E4F0" w:val="clear"/>
        </w:rPr>
        <w:t>教材原句</w:t>
      </w:r>
    </w:p>
    <w:p>
      <w:pPr>
        <w:spacing w:line="360" w:lineRule="auto" w:after="40"/>
        <w:ind w:firstLine="420"/>
      </w:pPr>
      <w:r>
        <w:t>"Financial institutions and DNFBPs must implement sanctions screening programs in line with UN, UAE, and FATF sanctions lists."</w:t>
      </w:r>
    </w:p>
    <w:p>
      <w:pPr>
        <w:spacing w:before="120" w:after="40"/>
      </w:pPr>
      <w:r>
        <w:rPr>
          <w:b/>
          <w:sz w:val="21"/>
          <w:shd w:fill="D6E4F0" w:val="clear"/>
        </w:rPr>
        <w:t>A项错误</w:t>
      </w:r>
    </w:p>
    <w:p>
      <w:pPr>
        <w:spacing w:line="360" w:lineRule="auto" w:after="40"/>
        <w:ind w:firstLine="420"/>
      </w:pPr>
      <w:r>
        <w:t>教材指出，制裁违规的客户“通常被终止关系”</w:t>
      </w:r>
      <w:r>
        <w:rPr>
          <w:sz w:val="15"/>
          <w:vertAlign w:val="superscript"/>
        </w:rPr>
        <w:t>P319</w:t>
      </w:r>
      <w:r>
        <w:t>，而非仅变更为高风险并继续监控。将受制裁客户仅作风险升级处理，在教材框架下不如直接终止关系或冻结资产更吻合制裁合规要求。</w:t>
      </w:r>
    </w:p>
    <w:p>
      <w:pPr>
        <w:spacing w:before="120" w:after="40"/>
      </w:pPr>
      <w:r>
        <w:rPr>
          <w:b/>
          <w:sz w:val="21"/>
          <w:shd w:fill="D6E4F0" w:val="clear"/>
        </w:rPr>
        <w:t>C项错误</w:t>
      </w:r>
    </w:p>
    <w:p>
      <w:pPr>
        <w:spacing w:line="360" w:lineRule="auto" w:after="40"/>
        <w:ind w:firstLine="420"/>
      </w:pPr>
      <w:r>
        <w:t>强化尽职调查的对象是高风险实体，而非被列入制裁名单的禁止实体。教材规定检测到制裁风险时应冻结支付并上报</w:t>
      </w:r>
      <w:r>
        <w:rPr>
          <w:sz w:val="15"/>
          <w:vertAlign w:val="superscript"/>
        </w:rPr>
        <w:t>P307</w:t>
      </w:r>
      <w:r>
        <w:t>，对制裁名单上的实体直接进行EDD，在处置手段上不如冻结和报告来得直接。</w:t>
      </w:r>
    </w:p>
    <w:p>
      <w:pPr>
        <w:spacing w:before="120" w:after="40"/>
      </w:pPr>
      <w:r>
        <w:rPr>
          <w:b/>
          <w:sz w:val="21"/>
          <w:shd w:fill="D6E4F0" w:val="clear"/>
        </w:rPr>
        <w:t>D项错误</w:t>
      </w:r>
    </w:p>
    <w:p>
      <w:pPr>
        <w:spacing w:line="360" w:lineRule="auto" w:after="40"/>
        <w:ind w:firstLine="420"/>
      </w:pPr>
      <w:r>
        <w:t>教材要求各国实施定向金融制裁时应“毫不延迟地”冻结指定人员或实体的资产</w:t>
      </w:r>
      <w:r>
        <w:rPr>
          <w:sz w:val="15"/>
          <w:vertAlign w:val="superscript"/>
        </w:rPr>
        <w:t>P147</w:t>
      </w:r>
      <w:r>
        <w:t>，冻结义务不依赖于董事会的批准程序。D项增设了“经董事会批准”的前置条件，与教材要求的立即执行之间存在时间差，不如B项直接契合筛查识别这一前端步骤。</w:t>
      </w:r>
    </w:p>
    <w:p>
      <w:pPr>
        <w:spacing w:before="120" w:after="40"/>
      </w:pPr>
      <w:r>
        <w:rPr>
          <w:b/>
          <w:sz w:val="21"/>
          <w:shd w:fill="D6E4F0" w:val="clear"/>
        </w:rPr>
        <w:t>易错提醒</w:t>
      </w:r>
    </w:p>
    <w:p>
      <w:pPr>
        <w:spacing w:line="360" w:lineRule="auto" w:after="40"/>
        <w:ind w:firstLine="420"/>
      </w:pPr>
      <w:r>
        <w:t>制裁名单上的实体与高风险实体处置逻辑不同：制裁名单触发的是筛查→冻结→上报路径（P306-P307），高风险实体才适用EDD</w:t>
      </w:r>
      <w:r>
        <w:rPr>
          <w:sz w:val="15"/>
          <w:vertAlign w:val="superscript"/>
        </w:rPr>
        <w:t>P319</w:t>
      </w:r>
      <w:r>
        <w:t>。两者的处理步序不可混用。</w:t>
      </w:r>
    </w:p>
    <w:p>
      <w:pPr>
        <w:spacing w:line="360" w:lineRule="auto" w:after="120"/>
      </w:pPr>
      <w:r/>
    </w:p>
    <w:p>
      <w:pPr>
        <w:spacing w:line="360" w:lineRule="auto" w:after="40"/>
      </w:pPr>
      <w:r>
        <w:t>3. According to the Financial Action Task Force (FATF) Recommendation 22, when involved in customer transactions that include the buying and selling of real estate, real estate professionals are required to apply which customer due diligence (CDD) measures? (Select Two.) ( )</w:t>
      </w:r>
    </w:p>
    <w:p>
      <w:pPr>
        <w:spacing w:line="360" w:lineRule="auto" w:after="20"/>
        <w:ind w:firstLine="283"/>
      </w:pPr>
      <w:r>
        <w:t>A. Obtaining prior senior manager approval for all related transactions.</w:t>
      </w:r>
    </w:p>
    <w:p>
      <w:pPr>
        <w:spacing w:line="360" w:lineRule="auto" w:after="20"/>
        <w:ind w:firstLine="283"/>
      </w:pPr>
      <w:r>
        <w:t>B. Understanding the purpose of the business relationship.</w:t>
      </w:r>
    </w:p>
    <w:p>
      <w:pPr>
        <w:spacing w:line="360" w:lineRule="auto" w:after="20"/>
        <w:ind w:firstLine="283"/>
      </w:pPr>
      <w:r>
        <w:t>C. Performing adverse media searches on the customer.</w:t>
      </w:r>
    </w:p>
    <w:p>
      <w:pPr>
        <w:spacing w:line="360" w:lineRule="auto" w:after="20"/>
        <w:ind w:firstLine="283"/>
      </w:pPr>
      <w:r>
        <w:t>D. Identifying and verifying the customer's identity.</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DNFBP的CDD核心义务：身份核实与业务关系目的</w:t>
      </w:r>
    </w:p>
    <w:p>
      <w:pPr>
        <w:spacing w:before="120" w:after="40"/>
      </w:pPr>
      <w:r>
        <w:rPr>
          <w:b/>
          <w:sz w:val="21"/>
          <w:shd w:fill="D6E4F0" w:val="clear"/>
        </w:rPr>
        <w:t>核心解析</w:t>
      </w:r>
    </w:p>
    <w:p>
      <w:pPr>
        <w:spacing w:line="360" w:lineRule="auto" w:after="40"/>
        <w:ind w:firstLine="420"/>
      </w:pPr>
      <w:r>
        <w:t>FATF第22条建议要求指定非金融行业与职业（DNFBPs），包括房地产专业人士，在特定交易中必须履行客户尽职调查（CDD）。作为受监管实体，DNFBP必须进行CDD和了解你的客户</w:t>
      </w:r>
      <w:r>
        <w:rPr>
          <w:sz w:val="15"/>
          <w:vertAlign w:val="superscript"/>
        </w:rPr>
        <w:t>P203</w:t>
      </w:r>
      <w:r>
        <w:t>。CDD的核心在于验证客户身份并评估风险</w:t>
      </w:r>
      <w:r>
        <w:rPr>
          <w:sz w:val="15"/>
          <w:vertAlign w:val="superscript"/>
        </w:rPr>
        <w:t>P244</w:t>
      </w:r>
      <w:r>
        <w:t>，其基本步骤包括两个方面：一是身份识别与验证，即通过政府证件等方式核实客户身份</w:t>
      </w:r>
      <w:r>
        <w:rPr>
          <w:sz w:val="15"/>
          <w:vertAlign w:val="superscript"/>
        </w:rPr>
        <w:t>P301</w:t>
      </w:r>
      <w:r>
        <w:t>；二是理解业务关系的目的与预期性质</w:t>
      </w:r>
      <w:r>
        <w:rPr>
          <w:sz w:val="15"/>
          <w:vertAlign w:val="superscript"/>
        </w:rPr>
        <w:t>P305</w:t>
      </w:r>
      <w:r>
        <w:t>，并评估账户的预期活动</w:t>
      </w:r>
      <w:r>
        <w:rPr>
          <w:sz w:val="15"/>
          <w:vertAlign w:val="superscript"/>
        </w:rPr>
        <w:t>P309</w:t>
      </w:r>
      <w:r>
        <w:t>。本题中房地产专业人士需在房地产买卖交易场景中执行CDD，因此确认并核实客户身份（D）和理解业务关系的目的（B）直接对应了CDD的两项基本要求。</w:t>
      </w:r>
    </w:p>
    <w:p>
      <w:pPr>
        <w:spacing w:before="120" w:after="40"/>
      </w:pPr>
      <w:r>
        <w:rPr>
          <w:b/>
          <w:sz w:val="21"/>
          <w:shd w:fill="D6E4F0" w:val="clear"/>
        </w:rPr>
        <w:t>教材原句</w:t>
      </w:r>
    </w:p>
    <w:p>
      <w:pPr>
        <w:spacing w:line="360" w:lineRule="auto" w:after="40"/>
        <w:ind w:firstLine="420"/>
      </w:pPr>
      <w:r>
        <w:t>"As part of their compliance obligations, all regulated entities, including financial institutions and DNFBPs, must conduct CDD and KYC."</w:t>
      </w:r>
    </w:p>
    <w:p>
      <w:pPr>
        <w:spacing w:before="120" w:after="40"/>
      </w:pPr>
      <w:r>
        <w:rPr>
          <w:b/>
          <w:sz w:val="21"/>
          <w:shd w:fill="D6E4F0" w:val="clear"/>
        </w:rPr>
        <w:t>A项错误</w:t>
      </w:r>
    </w:p>
    <w:p>
      <w:pPr>
        <w:spacing w:line="360" w:lineRule="auto" w:after="40"/>
        <w:ind w:firstLine="420"/>
      </w:pPr>
      <w:r>
        <w:t>高管批准在教材中属于为高风险客户设置的强化控制措施</w:t>
      </w:r>
      <w:r>
        <w:rPr>
          <w:sz w:val="15"/>
          <w:vertAlign w:val="superscript"/>
        </w:rPr>
        <w:t>P312</w:t>
      </w:r>
      <w:r>
        <w:t>，或在提交可疑交易报告后可引入的额外举措</w:t>
      </w:r>
      <w:r>
        <w:rPr>
          <w:sz w:val="15"/>
          <w:vertAlign w:val="superscript"/>
        </w:rPr>
        <w:t>P357</w:t>
      </w:r>
      <w:r>
        <w:t>。该措施本身与CDD有一定关联，但FATF第22条要求的是对客户普遍适用的基础CDD，题干并未给出触发强化措施的风险要素，因此A与题干所需的基础CDD匹配度不如B和D直接。</w:t>
      </w:r>
    </w:p>
    <w:p>
      <w:pPr>
        <w:spacing w:before="120" w:after="40"/>
      </w:pPr>
      <w:r>
        <w:rPr>
          <w:b/>
          <w:sz w:val="21"/>
          <w:shd w:fill="D6E4F0" w:val="clear"/>
        </w:rPr>
        <w:t>C项错误</w:t>
      </w:r>
    </w:p>
    <w:p>
      <w:pPr>
        <w:spacing w:line="360" w:lineRule="auto" w:after="40"/>
        <w:ind w:firstLine="420"/>
      </w:pPr>
      <w:r>
        <w:t>负面媒体筛查在教材中属于客户准入前的筛查步骤</w:t>
      </w:r>
      <w:r>
        <w:rPr>
          <w:sz w:val="15"/>
          <w:vertAlign w:val="superscript"/>
        </w:rPr>
        <w:t>P374</w:t>
      </w:r>
      <w:r>
        <w:t>，也是基于风险的方法中对高风险客户进行的持续监控措施</w:t>
      </w:r>
      <w:r>
        <w:rPr>
          <w:sz w:val="15"/>
          <w:vertAlign w:val="superscript"/>
        </w:rPr>
        <w:t>P322</w:t>
      </w:r>
      <w:r>
        <w:t>。它更多作为EDD或风险评估的补充手段，而非FATF第22条要求DNFBP实施的最基础CDD组成部分。相比B和D，C更偏向于风险筛查而非基本的尽职调查义务。</w:t>
      </w:r>
    </w:p>
    <w:p>
      <w:pPr>
        <w:spacing w:before="120" w:after="40"/>
      </w:pPr>
      <w:r>
        <w:rPr>
          <w:b/>
          <w:sz w:val="21"/>
          <w:shd w:fill="D6E4F0" w:val="clear"/>
        </w:rPr>
        <w:t>易错提醒</w:t>
      </w:r>
    </w:p>
    <w:p>
      <w:pPr>
        <w:spacing w:line="360" w:lineRule="auto" w:after="40"/>
        <w:ind w:firstLine="420"/>
      </w:pPr>
      <w:r>
        <w:t>标准CDD与强化控制措施的边界：基础CDD覆盖身份核实和目的了解，面向所有客户</w:t>
      </w:r>
      <w:r>
        <w:rPr>
          <w:sz w:val="15"/>
          <w:vertAlign w:val="superscript"/>
        </w:rPr>
        <w:t>P244、P309</w:t>
      </w:r>
      <w:r>
        <w:t>；而高管批准</w:t>
      </w:r>
      <w:r>
        <w:rPr>
          <w:sz w:val="15"/>
          <w:vertAlign w:val="superscript"/>
        </w:rPr>
        <w:t>P312</w:t>
      </w:r>
      <w:r>
        <w:t>、负面媒体筛查</w:t>
      </w:r>
      <w:r>
        <w:rPr>
          <w:sz w:val="15"/>
          <w:vertAlign w:val="superscript"/>
        </w:rPr>
        <w:t>P322</w:t>
      </w:r>
      <w:r>
        <w:t>等通常属于基于风险评级后触发的强化或补充手段，需要客户存在高风险指标才会启动。</w:t>
      </w:r>
    </w:p>
    <w:p>
      <w:pPr>
        <w:spacing w:line="360" w:lineRule="auto" w:after="120"/>
      </w:pPr>
      <w:r/>
    </w:p>
    <w:p>
      <w:pPr>
        <w:spacing w:line="360" w:lineRule="auto" w:after="40"/>
      </w:pPr>
      <w:r>
        <w:t>4. Which obliged entities or gatekeepers may be required to perform customer due diligence (CDD)? (Select Four.) ( )</w:t>
      </w:r>
    </w:p>
    <w:p>
      <w:pPr>
        <w:spacing w:line="360" w:lineRule="auto" w:after="20"/>
        <w:ind w:firstLine="283"/>
      </w:pPr>
      <w:r>
        <w:t>A. Casino security guards</w:t>
      </w:r>
    </w:p>
    <w:p>
      <w:pPr>
        <w:spacing w:line="360" w:lineRule="auto" w:after="20"/>
        <w:ind w:firstLine="283"/>
      </w:pPr>
      <w:r>
        <w:t>B. City court judges</w:t>
      </w:r>
    </w:p>
    <w:p>
      <w:pPr>
        <w:spacing w:line="360" w:lineRule="auto" w:after="20"/>
        <w:ind w:firstLine="283"/>
      </w:pPr>
      <w:r>
        <w:t>C. Notaries involved in real estate transactions</w:t>
      </w:r>
    </w:p>
    <w:p>
      <w:pPr>
        <w:spacing w:line="360" w:lineRule="auto" w:after="20"/>
        <w:ind w:firstLine="283"/>
      </w:pPr>
      <w:r>
        <w:t>D. Dealers in precious metals and stones</w:t>
      </w:r>
    </w:p>
    <w:p>
      <w:pPr>
        <w:spacing w:line="360" w:lineRule="auto" w:after="20"/>
        <w:ind w:firstLine="283"/>
      </w:pPr>
      <w:r>
        <w:t>E. Real estate agents</w:t>
      </w:r>
    </w:p>
    <w:p>
      <w:pPr>
        <w:spacing w:line="360" w:lineRule="auto" w:after="20"/>
        <w:ind w:firstLine="283"/>
      </w:pPr>
      <w:r>
        <w:t>F. Accountants and auditors</w:t>
      </w:r>
    </w:p>
    <w:p>
      <w:pPr>
        <w:spacing w:line="360" w:lineRule="auto" w:after="40"/>
      </w:pPr>
      <w:r>
        <w:t>答案：C、D、E、F</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DNFBP 范畴内须履行 CDD 义务的守门人</w:t>
      </w:r>
    </w:p>
    <w:p>
      <w:pPr>
        <w:spacing w:before="120" w:after="40"/>
      </w:pPr>
      <w:r>
        <w:rPr>
          <w:b/>
          <w:sz w:val="21"/>
          <w:shd w:fill="D6E4F0" w:val="clear"/>
        </w:rPr>
        <w:t>核心解析</w:t>
      </w:r>
    </w:p>
    <w:p>
      <w:pPr>
        <w:spacing w:line="360" w:lineRule="auto" w:after="40"/>
        <w:ind w:firstLine="420"/>
      </w:pPr>
      <w:r>
        <w:t>根据教材，所有受监管实体，包括金融机构和指定非金融行业与职业（DNFBPs），都必须进行客户尽职调查（CDD）和了解你的客户（KYC）</w:t>
      </w:r>
      <w:r>
        <w:rPr>
          <w:sz w:val="15"/>
          <w:vertAlign w:val="superscript"/>
        </w:rPr>
        <w:t>P203</w:t>
      </w:r>
      <w:r>
        <w:t>。题干要求选出可能需要执行 CDD 的受监管实体或守门人。教材将 DNFBP 定义为虽非金融机构，但从事易受洗钱和恐怖融资风险活动的实体，常被称为“守门人”，并举例包括房地产经纪人、贵金属和宝石经销商、律师、公证人、会计师等</w:t>
      </w:r>
      <w:r>
        <w:rPr>
          <w:sz w:val="15"/>
          <w:vertAlign w:val="superscript"/>
        </w:rPr>
        <w:t>P119</w:t>
      </w:r>
      <w:r>
        <w:t>。在房地产场景下，教材进一步指出房地产专业人士应与其他 DNFBP 合作预防洗钱，提到的合作方包括参与房地产交易的公证员和会计师</w:t>
      </w:r>
      <w:r>
        <w:rPr>
          <w:sz w:val="15"/>
          <w:vertAlign w:val="superscript"/>
        </w:rPr>
        <w:t>P122</w:t>
      </w:r>
      <w:r>
        <w:t>。综合这些规则框架，选项 C（参与房地产交易的公证员）、D（贵金属和宝石经销商）、E（房地产经纪人）和 F（会计和审计员）均明确落入 DNFBP 范围，匹配题干对 CDD 义务主体的要求。</w:t>
      </w:r>
    </w:p>
    <w:p>
      <w:pPr>
        <w:spacing w:before="120" w:after="40"/>
      </w:pPr>
      <w:r>
        <w:rPr>
          <w:b/>
          <w:sz w:val="21"/>
          <w:shd w:fill="D6E4F0" w:val="clear"/>
        </w:rPr>
        <w:t>教材原句</w:t>
      </w:r>
    </w:p>
    <w:p>
      <w:pPr>
        <w:spacing w:line="360" w:lineRule="auto" w:after="40"/>
        <w:ind w:firstLine="420"/>
      </w:pPr>
      <w:r>
        <w:t>"all regulated entities, including financial institutions and DNFBPs, must conduct CDD and KYC."</w:t>
      </w:r>
    </w:p>
    <w:p>
      <w:pPr>
        <w:spacing w:before="120" w:after="40"/>
      </w:pPr>
      <w:r>
        <w:rPr>
          <w:b/>
          <w:sz w:val="21"/>
          <w:shd w:fill="D6E4F0" w:val="clear"/>
        </w:rPr>
        <w:t>A项错误</w:t>
      </w:r>
    </w:p>
    <w:p>
      <w:pPr>
        <w:spacing w:line="360" w:lineRule="auto" w:after="40"/>
        <w:ind w:firstLine="420"/>
      </w:pPr>
      <w:r>
        <w:t>赌场运营实体作为提供准金融服务的 DNFBP 需要履行 CDD 义务，但“赌场保安人员”是其内部员工，职责在于安保而非直接经手金融业务，不符合“受监管实体或守门人”的义务主体定位。</w:t>
      </w:r>
    </w:p>
    <w:p>
      <w:pPr>
        <w:spacing w:before="120" w:after="40"/>
      </w:pPr>
      <w:r>
        <w:rPr>
          <w:b/>
          <w:sz w:val="21"/>
          <w:shd w:fill="D6E4F0" w:val="clear"/>
        </w:rPr>
        <w:t>B项错误</w:t>
      </w:r>
    </w:p>
    <w:p>
      <w:pPr>
        <w:spacing w:line="360" w:lineRule="auto" w:after="40"/>
        <w:ind w:firstLine="420"/>
      </w:pPr>
      <w:r>
        <w:t>法官可通过法院命令要求金融机构提供账户信息或交易记录</w:t>
      </w:r>
      <w:r>
        <w:rPr>
          <w:sz w:val="15"/>
          <w:vertAlign w:val="superscript"/>
        </w:rPr>
        <w:t>P336</w:t>
      </w:r>
      <w:r>
        <w:t>，但其行使司法权而非作为被反洗钱法规要求执行 CDD 的受监管实体，题干条件更吻合教材对 DNFBP 守门人的界定。</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