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pPr>
      <w:r>
        <w:t>试卷名称:CAMS CH07 (EN)</w:t>
      </w:r>
    </w:p>
    <w:p>
      <w:pPr>
        <w:spacing w:line="360" w:lineRule="auto" w:after="160"/>
      </w:pPr>
      <w:r>
        <w:t>一、单项选择题</w:t>
      </w:r>
    </w:p>
    <w:p>
      <w:pPr>
        <w:spacing w:line="360" w:lineRule="auto" w:after="40"/>
      </w:pPr>
      <w:r>
        <w:t>1. A company is rapidly expanding into several international markets, including jurisdictions considered high risk in terms of regulatory oversight. The board has requested the Money Laundering Reporting Officer (MLRO) to review and adjust the company's anti-financial crime (AFC) compliance framework to align with the evolving regulatory landscape and expansion strategy. During this process, the MLRO identifies vulnerabilities, particularly in markets with AML deficiencies, and updates the framework to mitigate these risks. Which element of the AFC compliance program does this process describe? ( )</w:t>
      </w:r>
    </w:p>
    <w:p>
      <w:pPr>
        <w:spacing w:line="360" w:lineRule="auto" w:after="20"/>
        <w:ind w:firstLine="283"/>
      </w:pPr>
      <w:r>
        <w:t>A. Governance arrangements</w:t>
      </w:r>
    </w:p>
    <w:p>
      <w:pPr>
        <w:spacing w:line="360" w:lineRule="auto" w:after="20"/>
        <w:ind w:firstLine="283"/>
      </w:pPr>
      <w:r>
        <w:t>B. Transaction monitoring</w:t>
      </w:r>
    </w:p>
    <w:p>
      <w:pPr>
        <w:spacing w:line="360" w:lineRule="auto" w:after="20"/>
        <w:ind w:firstLine="283"/>
      </w:pPr>
      <w:r>
        <w:t>C. Training and awareness</w:t>
      </w:r>
    </w:p>
    <w:p>
      <w:pPr>
        <w:spacing w:line="360" w:lineRule="auto" w:after="20"/>
        <w:ind w:firstLine="283"/>
      </w:pPr>
      <w:r>
        <w:t>D. Risk assessment</w:t>
      </w:r>
    </w:p>
    <w:p>
      <w:pPr>
        <w:spacing w:line="360" w:lineRule="auto" w:after="40"/>
      </w:pPr>
      <w:r>
        <w:t>答案：D</w:t>
      </w:r>
    </w:p>
    <w:p>
      <w:pPr>
        <w:spacing w:line="360" w:lineRule="auto" w:after="40"/>
      </w:pPr>
      <w:r>
        <w:t>解析：</w:t>
      </w:r>
    </w:p>
    <w:p>
      <w:pPr>
        <w:spacing w:before="120" w:after="40"/>
      </w:pPr>
      <w:r>
        <w:rPr>
          <w:b/>
          <w:sz w:val="21"/>
          <w:shd w:fill="D6E4F0" w:val="clear"/>
        </w:rPr>
        <w:t>考点</w:t>
      </w:r>
    </w:p>
    <w:p>
      <w:pPr>
        <w:spacing w:line="360" w:lineRule="auto" w:after="40"/>
        <w:ind w:firstLine="420"/>
      </w:pPr>
      <w:r>
        <w:t>识别“风险评估”作为AFC合规框架的核心流程要素</w:t>
      </w:r>
    </w:p>
    <w:p>
      <w:pPr>
        <w:spacing w:before="120" w:after="40"/>
      </w:pPr>
      <w:r>
        <w:rPr>
          <w:b/>
          <w:sz w:val="21"/>
          <w:shd w:fill="D6E4F0" w:val="clear"/>
        </w:rPr>
        <w:t>核心解析</w:t>
      </w:r>
    </w:p>
    <w:p>
      <w:pPr>
        <w:spacing w:line="360" w:lineRule="auto" w:after="40"/>
        <w:ind w:firstLine="420"/>
      </w:pPr>
      <w:r>
        <w:t>风险评估流程是风险管理项目的基础</w:t>
      </w:r>
      <w:r>
        <w:rPr>
          <w:sz w:val="15"/>
          <w:vertAlign w:val="superscript"/>
        </w:rPr>
        <w:t>P265</w:t>
      </w:r>
      <w:r>
        <w:t>。AML/CFT法规要求组织评估和管理洗钱与恐怖融资风险</w:t>
      </w:r>
      <w:r>
        <w:rPr>
          <w:sz w:val="15"/>
          <w:vertAlign w:val="superscript"/>
        </w:rPr>
        <w:t>P218</w:t>
      </w:r>
      <w:r>
        <w:t>，MLRO的职责包括领导风险评估</w:t>
      </w:r>
      <w:r>
        <w:rPr>
          <w:sz w:val="15"/>
          <w:vertAlign w:val="superscript"/>
        </w:rPr>
        <w:t>P295</w:t>
      </w:r>
      <w:r>
        <w:t>。教材案例展示：MLRO审查现有控制措施和流程，分析差距并确定受影响领域</w:t>
      </w:r>
      <w:r>
        <w:rPr>
          <w:sz w:val="15"/>
          <w:vertAlign w:val="superscript"/>
        </w:rPr>
        <w:t>P224</w:t>
      </w:r>
      <w:r>
        <w:t>。题干中公司向高风险司法管辖区扩张，MLRO审查并调整AFC合规框架、发现漏洞并更新以降低风险，正是在执行风险评估——识别因扩张带来的新风险，评估控制缺口，并据此调整框架。因此该流程直接对应“风险评估”要素。</w:t>
      </w:r>
    </w:p>
    <w:p>
      <w:pPr>
        <w:spacing w:before="120" w:after="40"/>
      </w:pPr>
      <w:r>
        <w:rPr>
          <w:b/>
          <w:sz w:val="21"/>
          <w:shd w:fill="D6E4F0" w:val="clear"/>
        </w:rPr>
        <w:t>教材原句</w:t>
      </w:r>
    </w:p>
    <w:p>
      <w:pPr>
        <w:spacing w:line="360" w:lineRule="auto" w:after="40"/>
        <w:ind w:firstLine="420"/>
      </w:pPr>
      <w:r>
        <w:t>"The MLRO conducts a review of the bank’s existing controls and processes to determine which areas are impacted. She then analyzes whether appropriate controls are in place and whether any gaps need to be addressed."</w:t>
      </w:r>
    </w:p>
    <w:p>
      <w:pPr>
        <w:spacing w:before="120" w:after="40"/>
      </w:pPr>
      <w:r>
        <w:rPr>
          <w:b/>
          <w:sz w:val="21"/>
          <w:shd w:fill="D6E4F0" w:val="clear"/>
        </w:rPr>
        <w:t>A项错误</w:t>
      </w:r>
    </w:p>
    <w:p>
      <w:pPr>
        <w:spacing w:line="360" w:lineRule="auto" w:after="40"/>
        <w:ind w:firstLine="420"/>
      </w:pPr>
      <w:r>
        <w:t>治理安排在教材中主要指治理委员会对规则选择、实施和系统更新的监督</w:t>
      </w:r>
      <w:r>
        <w:rPr>
          <w:sz w:val="15"/>
          <w:vertAlign w:val="superscript"/>
        </w:rPr>
        <w:t>P449</w:t>
      </w:r>
      <w:r>
        <w:t>。题干中MLRO个人进行的审查与框架更新更倾向于风险识别与评估，尚未涉及委员会层面的治理决策，匹配度不如风险评估直接。</w:t>
      </w:r>
    </w:p>
    <w:p>
      <w:pPr>
        <w:spacing w:before="120" w:after="40"/>
      </w:pPr>
      <w:r>
        <w:rPr>
          <w:b/>
          <w:sz w:val="21"/>
          <w:shd w:fill="D6E4F0" w:val="clear"/>
        </w:rPr>
        <w:t>B项错误</w:t>
      </w:r>
    </w:p>
    <w:p>
      <w:pPr>
        <w:spacing w:line="360" w:lineRule="auto" w:after="40"/>
        <w:ind w:firstLine="420"/>
      </w:pPr>
      <w:r>
        <w:t>交易监控是在开户后持续观察客户交易以识别异常活动</w:t>
      </w:r>
      <w:r>
        <w:rPr>
          <w:sz w:val="15"/>
          <w:vertAlign w:val="superscript"/>
        </w:rPr>
        <w:t>P329</w:t>
      </w:r>
      <w:r>
        <w:t>。题干未提及任何交易数据或监控行为，MLRO的工作聚焦于整体框架的差距分析，与交易监控的阶段和对象均不同，因此匹配度更低。</w:t>
      </w:r>
    </w:p>
    <w:p>
      <w:pPr>
        <w:spacing w:before="120" w:after="40"/>
      </w:pPr>
      <w:r>
        <w:rPr>
          <w:b/>
          <w:sz w:val="21"/>
          <w:shd w:fill="D6E4F0" w:val="clear"/>
        </w:rPr>
        <w:t>C项错误</w:t>
      </w:r>
    </w:p>
    <w:p>
      <w:pPr>
        <w:spacing w:line="360" w:lineRule="auto" w:after="40"/>
        <w:ind w:firstLine="420"/>
      </w:pPr>
      <w:r>
        <w:t>培训与意识指开展员工AML/CFT培训，确保其理解职责</w:t>
      </w:r>
      <w:r>
        <w:rPr>
          <w:sz w:val="15"/>
          <w:vertAlign w:val="superscript"/>
        </w:rPr>
        <w:t>P255</w:t>
      </w:r>
      <w:r>
        <w:t>。题干中MLRO的活动是自行审查和更新合规框架，而非向他人传递知识或意识，缺乏培训要素，因此不如风险评估匹配。</w:t>
      </w:r>
    </w:p>
    <w:p>
      <w:pPr>
        <w:spacing w:before="120" w:after="40"/>
      </w:pPr>
      <w:r>
        <w:rPr>
          <w:b/>
          <w:sz w:val="21"/>
          <w:shd w:fill="D6E4F0" w:val="clear"/>
        </w:rPr>
        <w:t>易错提醒</w:t>
      </w:r>
    </w:p>
    <w:p>
      <w:pPr>
        <w:spacing w:line="360" w:lineRule="auto" w:after="40"/>
        <w:ind w:firstLine="420"/>
      </w:pPr>
      <w:r>
        <w:t>区分风险评估与治理安排：风险评估侧重识别和分析风险缺口，由MLRO等执行</w:t>
      </w:r>
      <w:r>
        <w:rPr>
          <w:sz w:val="15"/>
          <w:vertAlign w:val="superscript"/>
        </w:rPr>
        <w:t>P218、P224</w:t>
      </w:r>
      <w:r>
        <w:t>；治理安排由委员会监督已建立规则和模型的批准与更新</w:t>
      </w:r>
      <w:r>
        <w:rPr>
          <w:sz w:val="15"/>
          <w:vertAlign w:val="superscript"/>
        </w:rPr>
        <w:t>P449</w:t>
      </w:r>
      <w:r>
        <w:t>。题干描述的“MLRO亲自审查差距并更新框架”更接近风险评估流程，而非治理委员会的角色。</w:t>
      </w:r>
    </w:p>
    <w:p>
      <w:pPr>
        <w:spacing w:line="360" w:lineRule="auto" w:after="120"/>
      </w:pPr>
      <w:r/>
    </w:p>
    <w:p>
      <w:pPr>
        <w:spacing w:line="360" w:lineRule="auto" w:after="40"/>
      </w:pPr>
      <w:r>
        <w:t>2. Which action could be taken by an organization to better understand the threats faced from proliferation financing? ( )</w:t>
      </w:r>
    </w:p>
    <w:p>
      <w:pPr>
        <w:spacing w:line="360" w:lineRule="auto" w:after="20"/>
        <w:ind w:firstLine="283"/>
      </w:pPr>
      <w:r>
        <w:t>A. Work with the front line to understand strategic growth targets specifically aimed at increasing market share around military technology and dual-use products</w:t>
      </w:r>
    </w:p>
    <w:p>
      <w:pPr>
        <w:spacing w:line="360" w:lineRule="auto" w:after="20"/>
        <w:ind w:firstLine="283"/>
      </w:pPr>
      <w:r>
        <w:t>B. Review the organization's sanctions risk assessment to better understand potential exposure to Russia and the Democratic People's Republic of Korea</w:t>
      </w:r>
    </w:p>
    <w:p>
      <w:pPr>
        <w:spacing w:line="360" w:lineRule="auto" w:after="20"/>
        <w:ind w:firstLine="283"/>
      </w:pPr>
      <w:r>
        <w:t>C. Read and analyze the most recent National Proliferation Financing Risk Assessment produced by the relevant body in the organization's jurisdiction</w:t>
      </w:r>
    </w:p>
    <w:p>
      <w:pPr>
        <w:spacing w:line="360" w:lineRule="auto" w:after="20"/>
        <w:ind w:firstLine="283"/>
      </w:pPr>
      <w:r>
        <w:t>D. Conduct a detailed review of transactions involving payments to all customers identified as defense contractors, paying particular attention to those customers' beneficial owners</w:t>
      </w:r>
    </w:p>
    <w:p>
      <w:pPr>
        <w:spacing w:line="360" w:lineRule="auto" w:after="40"/>
      </w:pPr>
      <w:r>
        <w:t>答案：C</w:t>
      </w:r>
    </w:p>
    <w:p>
      <w:pPr>
        <w:spacing w:line="360" w:lineRule="auto" w:after="40"/>
      </w:pPr>
      <w:r>
        <w:t>解析：</w:t>
      </w:r>
    </w:p>
    <w:p>
      <w:pPr>
        <w:spacing w:before="120" w:after="40"/>
      </w:pPr>
      <w:r>
        <w:rPr>
          <w:b/>
          <w:sz w:val="21"/>
          <w:shd w:fill="D6E4F0" w:val="clear"/>
        </w:rPr>
        <w:t>考点</w:t>
      </w:r>
    </w:p>
    <w:p>
      <w:pPr>
        <w:spacing w:line="360" w:lineRule="auto" w:after="40"/>
        <w:ind w:firstLine="420"/>
      </w:pPr>
      <w:r>
        <w:t>利用国家扩散融资风险评估（NRA）了解扩散融资威胁</w:t>
      </w:r>
    </w:p>
    <w:p>
      <w:pPr>
        <w:spacing w:before="120" w:after="40"/>
      </w:pPr>
      <w:r>
        <w:rPr>
          <w:b/>
          <w:sz w:val="21"/>
          <w:shd w:fill="D6E4F0" w:val="clear"/>
        </w:rPr>
        <w:t>核心解析</w:t>
      </w:r>
    </w:p>
    <w:p>
      <w:pPr>
        <w:spacing w:line="360" w:lineRule="auto" w:after="40"/>
        <w:ind w:firstLine="420"/>
      </w:pPr>
      <w:r>
        <w:t>FATF建议1要求各国识别、评估和减轻扩散融资风险</w:t>
      </w:r>
      <w:r>
        <w:rPr>
          <w:sz w:val="15"/>
          <w:vertAlign w:val="superscript"/>
        </w:rPr>
        <w:t>P225</w:t>
      </w:r>
      <w:r>
        <w:t>。国家风险评估（NRA）是司法管辖区整合并表达这些风险知识的工具</w:t>
      </w:r>
      <w:r>
        <w:rPr>
          <w:sz w:val="15"/>
          <w:vertAlign w:val="superscript"/>
        </w:rPr>
        <w:t>P225</w:t>
      </w:r>
      <w:r>
        <w:t>。根据组织类型和风险暴露，组织可能需要进行特定风险评估，如扩散融资风险评估</w:t>
      </w:r>
      <w:r>
        <w:rPr>
          <w:sz w:val="15"/>
          <w:vertAlign w:val="superscript"/>
        </w:rPr>
        <w:t>P269</w:t>
      </w:r>
      <w:r>
        <w:t>。因此，阅读分析本辖区的《国家扩散融资风险评估》报告能让组织直接了解扩散融资威胁，这是最匹配教材框架的行动。</w:t>
      </w:r>
    </w:p>
    <w:p>
      <w:pPr>
        <w:spacing w:before="120" w:after="40"/>
      </w:pPr>
      <w:r>
        <w:rPr>
          <w:b/>
          <w:sz w:val="21"/>
          <w:shd w:fill="D6E4F0" w:val="clear"/>
        </w:rPr>
        <w:t>教材原句</w:t>
      </w:r>
    </w:p>
    <w:p>
      <w:pPr>
        <w:spacing w:line="360" w:lineRule="auto" w:after="40"/>
        <w:ind w:firstLine="420"/>
      </w:pPr>
      <w:r>
        <w:t>"Jurisdictions can consolidate and articulate their knowledge of these risks using an NRA."</w:t>
      </w:r>
    </w:p>
    <w:p>
      <w:pPr>
        <w:spacing w:before="120" w:after="40"/>
      </w:pPr>
      <w:r>
        <w:rPr>
          <w:b/>
          <w:sz w:val="21"/>
          <w:shd w:fill="D6E4F0" w:val="clear"/>
        </w:rPr>
        <w:t>A项错误</w:t>
      </w:r>
    </w:p>
    <w:p>
      <w:pPr>
        <w:spacing w:line="360" w:lineRule="auto" w:after="40"/>
        <w:ind w:firstLine="420"/>
      </w:pPr>
      <w:r>
        <w:t>一线部门的战略增长目标旨在扩大军事技术和两用产品的市场份额，关注商业增长而非威胁评估。题干要求了解扩散融资威胁，选项A未涉及任何风险评估框架，与教材规定的国家风险评估或扩散融资风险评估不直接匹配。</w:t>
      </w:r>
    </w:p>
    <w:p>
      <w:pPr>
        <w:spacing w:before="120" w:after="40"/>
      </w:pPr>
      <w:r>
        <w:rPr>
          <w:b/>
          <w:sz w:val="21"/>
          <w:shd w:fill="D6E4F0" w:val="clear"/>
        </w:rPr>
        <w:t>B项错误</w:t>
      </w:r>
    </w:p>
    <w:p>
      <w:pPr>
        <w:spacing w:line="360" w:lineRule="auto" w:after="40"/>
        <w:ind w:firstLine="420"/>
      </w:pPr>
      <w:r>
        <w:t>审查制裁风险评估主要聚焦遵守制裁合规，不能全面了解扩散融资威胁。教材指出扩散融资风险评估是一项独立的特定风险评估</w:t>
      </w:r>
      <w:r>
        <w:rPr>
          <w:sz w:val="15"/>
          <w:vertAlign w:val="superscript"/>
        </w:rPr>
        <w:t>P269</w:t>
      </w:r>
      <w:r>
        <w:t>，直接阅读国家扩散融资风险评估比审查普遍的制裁风险评估更匹配题干要求的了解扩散融资威胁。</w:t>
      </w:r>
    </w:p>
    <w:p>
      <w:pPr>
        <w:spacing w:before="120" w:after="40"/>
      </w:pPr>
      <w:r>
        <w:rPr>
          <w:b/>
          <w:sz w:val="21"/>
          <w:shd w:fill="D6E4F0" w:val="clear"/>
        </w:rPr>
        <w:t>D项错误</w:t>
      </w:r>
    </w:p>
    <w:p>
      <w:pPr>
        <w:spacing w:line="360" w:lineRule="auto" w:after="40"/>
        <w:ind w:firstLine="420"/>
      </w:pPr>
      <w:r>
        <w:t>对所有向国防承包商付款的交易进行详细审查属于交易监控和尽职调查措施，旨在识别特定交易中的风险，而非从整体上了解扩散融资威胁。阅读国家扩散融资风险评估是宏观的了解威胁行动，比审查具体交易更直接匹配题干要求。</w:t>
      </w:r>
    </w:p>
    <w:p>
      <w:pPr>
        <w:spacing w:before="120" w:after="40"/>
      </w:pPr>
      <w:r>
        <w:rPr>
          <w:b/>
          <w:sz w:val="21"/>
          <w:shd w:fill="D6E4F0" w:val="clear"/>
        </w:rPr>
        <w:t>易错提醒</w:t>
      </w:r>
    </w:p>
    <w:p>
      <w:pPr>
        <w:spacing w:line="360" w:lineRule="auto" w:after="40"/>
        <w:ind w:firstLine="420"/>
      </w:pPr>
      <w:r>
        <w:t>制裁风险评估关注是否违反制裁名单，而扩散融资风险评估关注大规模杀伤性武器及其运载工具的转让和出口</w:t>
      </w:r>
      <w:r>
        <w:rPr>
          <w:sz w:val="15"/>
          <w:vertAlign w:val="superscript"/>
        </w:rPr>
        <w:t>P269</w:t>
      </w:r>
      <w:r>
        <w:t>，针对的是完全不同的风险类型。</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