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(EN)</w:t>
      </w:r>
    </w:p>
    <w:p>
      <w:pPr>
        <w:spacing w:line="360" w:lineRule="auto" w:after="160"/>
      </w:pPr>
      <w:r>
        <w:t>一、单项选择题</w:t>
      </w:r>
    </w:p>
    <w:p>
      <w:pPr>
        <w:spacing w:line="360" w:lineRule="auto" w:after="40"/>
      </w:pPr>
      <w:r>
        <w:t>1. When a multinational organization develops its anti-financial crime (AFC) program, what is the most important consideration for ensuring compliance across different jurisdictions? ( )</w:t>
      </w:r>
    </w:p>
    <w:p>
      <w:pPr>
        <w:spacing w:line="360" w:lineRule="auto" w:after="20"/>
        <w:ind w:firstLine="283"/>
      </w:pPr>
      <w:r>
        <w:t>A. Ensuring sanctions do not impact international bodies like the UN because they are not required to adhere to local laws</w:t>
      </w:r>
    </w:p>
    <w:p>
      <w:pPr>
        <w:spacing w:line="360" w:lineRule="auto" w:after="20"/>
        <w:ind w:firstLine="283"/>
      </w:pPr>
      <w:r>
        <w:t>B. Ensuring group policies and procedures prioritize adherence to U.S. regulations because they are the most influential worldwide</w:t>
      </w:r>
    </w:p>
    <w:p>
      <w:pPr>
        <w:spacing w:line="360" w:lineRule="auto" w:after="20"/>
        <w:ind w:firstLine="283"/>
      </w:pPr>
      <w:r>
        <w:t>C. Applying global AFC and sanctions policies to ensure consistency without the need to adapt to local regulations</w:t>
      </w:r>
    </w:p>
    <w:p>
      <w:pPr>
        <w:spacing w:line="360" w:lineRule="auto" w:after="20"/>
        <w:ind w:firstLine="283"/>
      </w:pPr>
      <w:r>
        <w:t>D. Ensuring group policies cater to compliance with each country's specific AML and sanctions regulations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跨国组织AFC政策须以各地方法规为底，兼顾全球一致性</w:t>
      </w:r>
    </w:p>
    <w:p>
      <w:pPr>
        <w:spacing w:before="120" w:after="40"/>
      </w:pPr>
      <w:r>
        <w:rPr>
          <w:b/>
          <w:sz w:val="21"/>
          <w:shd w:fill="D6E4F0" w:val="clear"/>
        </w:rPr>
        <w:t>核心解析</w:t>
      </w:r>
    </w:p>
    <w:p>
      <w:pPr>
        <w:spacing w:line="360" w:lineRule="auto" w:after="40"/>
        <w:ind w:firstLine="420"/>
      </w:pPr>
      <w:r>
        <w:t>教材指出，为确保不同司法管辖区的合规，跨国组织必须使集团政策与各国具体的法律保持一致，同时维持全球反金融犯罪原则</w:t>
      </w:r>
      <w:r>
        <w:rPr>
          <w:sz w:val="15"/>
          <w:vertAlign w:val="superscript"/>
        </w:rPr>
        <w:t>P292</w:t>
      </w:r>
      <w:r>
        <w:t>。这可能导致在某些司法管辖区实施更高标准，以保持全球一致性。本题问的是制定AFC计划时确保跨管辖区合规的“最重要考虑因素”，选项D“确保集团政策符合每个国家具体的反洗钱和制裁法规”正是该原则的直接体现。</w:t>
      </w:r>
    </w:p>
    <w:p>
      <w:pPr>
        <w:spacing w:before="120" w:after="40"/>
      </w:pPr>
      <w:r>
        <w:rPr>
          <w:b/>
          <w:sz w:val="21"/>
          <w:shd w:fill="D6E4F0" w:val="clear"/>
        </w:rPr>
        <w:t>教材原句</w:t>
      </w:r>
    </w:p>
    <w:p>
      <w:pPr>
        <w:spacing w:line="360" w:lineRule="auto" w:after="40"/>
        <w:ind w:firstLine="420"/>
      </w:pPr>
      <w:r>
        <w:t>"To ensure jurisdictional compliance, multinational organizations must align policies with country-specific laws, while maintaining global AFC principles."</w:t>
      </w:r>
    </w:p>
    <w:p>
      <w:pPr>
        <w:spacing w:before="120" w:after="40"/>
      </w:pPr>
      <w:r>
        <w:rPr>
          <w:b/>
          <w:sz w:val="21"/>
          <w:shd w:fill="D6E4F0" w:val="clear"/>
        </w:rPr>
        <w:t>A项错误</w:t>
      </w:r>
    </w:p>
    <w:p>
      <w:pPr>
        <w:spacing w:line="360" w:lineRule="auto" w:after="40"/>
        <w:ind w:firstLine="420"/>
      </w:pPr>
      <w:r>
        <w:t>题干聚焦跨国组织自身的合规考虑，而选项A关注的是制裁是否影响联合国这类国际机构，题干要素不匹配。</w:t>
      </w:r>
    </w:p>
    <w:p>
      <w:pPr>
        <w:spacing w:before="120" w:after="40"/>
      </w:pPr>
      <w:r>
        <w:rPr>
          <w:b/>
          <w:sz w:val="21"/>
          <w:shd w:fill="D6E4F0" w:val="clear"/>
        </w:rPr>
        <w:t>B项错误</w:t>
      </w:r>
    </w:p>
    <w:p>
      <w:pPr>
        <w:spacing w:line="360" w:lineRule="auto" w:after="40"/>
        <w:ind w:firstLine="420"/>
      </w:pPr>
      <w:r>
        <w:t>教材提到美国制裁因美元地位具有广泛影响，是全球组织的合规关注点</w:t>
      </w:r>
      <w:r>
        <w:rPr>
          <w:sz w:val="15"/>
          <w:vertAlign w:val="superscript"/>
        </w:rPr>
        <w:t>P206</w:t>
      </w:r>
      <w:r>
        <w:t>，但跨国AFC政策的第一要务是贴合运营所在各国的当地法规，而非优先遵循某一国法规。相比之下，教材对跨辖区合规的核心描述更直接支持D。</w:t>
      </w:r>
    </w:p>
    <w:p>
      <w:pPr>
        <w:spacing w:before="120" w:after="40"/>
      </w:pPr>
      <w:r>
        <w:rPr>
          <w:b/>
          <w:sz w:val="21"/>
          <w:shd w:fill="D6E4F0" w:val="clear"/>
        </w:rPr>
        <w:t>C项错误</w:t>
      </w:r>
    </w:p>
    <w:p>
      <w:pPr>
        <w:spacing w:line="360" w:lineRule="auto" w:after="40"/>
        <w:ind w:firstLine="420"/>
      </w:pPr>
      <w:r>
        <w:t>教材明确要求全球性组织应进行差距分析，确保政策涵盖其运营管辖区内的相关当地法规</w:t>
      </w:r>
      <w:r>
        <w:rPr>
          <w:sz w:val="15"/>
          <w:vertAlign w:val="superscript"/>
        </w:rPr>
        <w:t>P294</w:t>
      </w:r>
      <w:r>
        <w:t>，区域或地方政策可反映当地法律、法规和风险。选项C否定适应当地法规的必要性，与教材框架下“先满足当地法规、再追求全球一致性”的匹配度不如D。</w:t>
      </w:r>
    </w:p>
    <w:p>
      <w:pPr>
        <w:spacing w:before="120" w:after="40"/>
      </w:pPr>
      <w:r>
        <w:rPr>
          <w:b/>
          <w:sz w:val="21"/>
          <w:shd w:fill="D6E4F0" w:val="clear"/>
        </w:rPr>
        <w:t>易错提醒</w:t>
      </w:r>
    </w:p>
    <w:p>
      <w:pPr>
        <w:spacing w:line="360" w:lineRule="auto" w:after="40"/>
        <w:ind w:firstLine="420"/>
      </w:pPr>
      <w:r>
        <w:t>跨国AFC计划不是全球统一模板，而是“当地法规为底线 + 高风险区实施更高标准 + 全球原则不冲突”的嵌套结构。若一味追求一致性而忽略本地差异，反而导致合规漏洞。</w:t>
      </w:r>
    </w:p>
    <w:p>
      <w:pPr>
        <w:spacing w:line="360" w:lineRule="auto" w:after="120"/>
      </w:pPr>
      <w:r/>
    </w:p>
    <w:p>
      <w:pPr>
        <w:spacing w:line="360" w:lineRule="auto" w:after="40"/>
      </w:pPr>
      <w:r>
        <w:t>2. Which of the following is a key consideration for a global organization when managing AFC and sanctions compliance across multiple jurisdictions? ( )</w:t>
      </w:r>
    </w:p>
    <w:p>
      <w:pPr>
        <w:spacing w:line="360" w:lineRule="auto" w:after="20"/>
        <w:ind w:firstLine="283"/>
      </w:pPr>
      <w:r>
        <w:t>A. Ensuring sanctions compliance by relying solely on international bodies like the UN because there is no requirement to adhere to local laws</w:t>
      </w:r>
    </w:p>
    <w:p>
      <w:pPr>
        <w:spacing w:line="360" w:lineRule="auto" w:after="20"/>
        <w:ind w:firstLine="283"/>
      </w:pPr>
      <w:r>
        <w:t>B. Ensuring group policies and procedures prioritize adherence to U.S. regulations because they are the most influential worldwide</w:t>
      </w:r>
    </w:p>
    <w:p>
      <w:pPr>
        <w:spacing w:line="360" w:lineRule="auto" w:after="20"/>
        <w:ind w:firstLine="283"/>
      </w:pPr>
      <w:r>
        <w:t>C. Applying global AFC and sanctions policies to ensure consistency without the need to adapt to local regulations</w:t>
      </w:r>
    </w:p>
    <w:p>
      <w:pPr>
        <w:spacing w:line="360" w:lineRule="auto" w:after="20"/>
        <w:ind w:firstLine="283"/>
      </w:pPr>
      <w:r>
        <w:t>D. Ensuring group policies cater to compliance with each country's specific AML and sanctions regulations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跨国组织须使政策符合各国法律并维持全球原则</w:t>
      </w:r>
    </w:p>
    <w:p>
      <w:pPr>
        <w:spacing w:before="120" w:after="40"/>
      </w:pPr>
      <w:r>
        <w:rPr>
          <w:b/>
          <w:sz w:val="21"/>
          <w:shd w:fill="D6E4F0" w:val="clear"/>
        </w:rPr>
        <w:t>核心解析</w:t>
      </w:r>
    </w:p>
    <w:p>
      <w:pPr>
        <w:spacing w:line="360" w:lineRule="auto" w:after="40"/>
        <w:ind w:firstLine="420"/>
      </w:pPr>
      <w:r>
        <w:t>跨国组织为确保司法管辖合规，必须使集团政策符合特定国家的法律，同时维持全球反洗钱/反恐融资原则，这可能导致在某些司法管辖区实施更高标准</w:t>
      </w:r>
      <w:r>
        <w:rPr>
          <w:sz w:val="15"/>
          <w:vertAlign w:val="superscript"/>
        </w:rPr>
        <w:t>P292</w:t>
      </w:r>
      <w:r>
        <w:t>。为此，国际金融机构通常会在集团反洗钱政策中附加司法管辖区特定的附录，以应对当地法规差异</w:t>
      </w:r>
      <w:r>
        <w:rPr>
          <w:sz w:val="15"/>
          <w:vertAlign w:val="superscript"/>
        </w:rPr>
        <w:t>P194</w:t>
      </w:r>
      <w:r>
        <w:t>。因此，全球性组织管理多辖区合规的关键考虑，是确保集团政策覆盖每个国家具体的反洗钱和制裁法规要求。选项D直接体现了这一原则。</w:t>
      </w:r>
    </w:p>
    <w:p>
      <w:pPr>
        <w:spacing w:before="120" w:after="40"/>
      </w:pPr>
      <w:r>
        <w:rPr>
          <w:b/>
          <w:sz w:val="21"/>
          <w:shd w:fill="D6E4F0" w:val="clear"/>
        </w:rPr>
        <w:t>教材原句</w:t>
      </w:r>
    </w:p>
    <w:p>
      <w:pPr>
        <w:spacing w:line="360" w:lineRule="auto" w:after="40"/>
        <w:ind w:firstLine="420"/>
      </w:pPr>
      <w:r>
        <w:t>"To ensure jurisdictional compliance, multinational organizations must align policies with country-specific laws, while maintaining global AFC principles."</w:t>
      </w:r>
    </w:p>
    <w:p>
      <w:pPr>
        <w:spacing w:before="120" w:after="40"/>
      </w:pPr>
      <w:r>
        <w:rPr>
          <w:b/>
          <w:sz w:val="21"/>
          <w:shd w:fill="D6E4F0" w:val="clear"/>
        </w:rPr>
        <w:t>A项错误</w:t>
      </w:r>
    </w:p>
    <w:p>
      <w:pPr>
        <w:spacing w:line="360" w:lineRule="auto" w:after="40"/>
        <w:ind w:firstLine="420"/>
      </w:pPr>
      <w:r>
        <w:t>教材要求跨国组织遵守各运营所在地的法律</w:t>
      </w:r>
      <w:r>
        <w:rPr>
          <w:sz w:val="15"/>
          <w:vertAlign w:val="superscript"/>
        </w:rPr>
        <w:t>P292</w:t>
      </w:r>
      <w:r>
        <w:t>，联合国制裁也需要成员国通过国内立法实施</w:t>
      </w:r>
      <w:r>
        <w:rPr>
          <w:sz w:val="15"/>
          <w:vertAlign w:val="superscript"/>
        </w:rPr>
        <w:t>P206</w:t>
      </w:r>
      <w:r>
        <w:t>。相比D所强调的符合每个国家具体法规，A仅依赖国际机构而否认当地法律义务，与教材的管辖合规要求匹配度更低。</w:t>
      </w:r>
    </w:p>
    <w:p>
      <w:pPr>
        <w:spacing w:before="120" w:after="40"/>
      </w:pPr>
      <w:r>
        <w:rPr>
          <w:b/>
          <w:sz w:val="21"/>
          <w:shd w:fill="D6E4F0" w:val="clear"/>
        </w:rPr>
        <w:t>B项错误</w:t>
      </w:r>
    </w:p>
    <w:p>
      <w:pPr>
        <w:spacing w:line="360" w:lineRule="auto" w:after="40"/>
        <w:ind w:firstLine="420"/>
      </w:pPr>
      <w:r>
        <w:t>教材承认美国制裁具有广泛影响，是全球组织的合规关注点</w:t>
      </w:r>
      <w:r>
        <w:rPr>
          <w:sz w:val="15"/>
          <w:vertAlign w:val="superscript"/>
        </w:rPr>
        <w:t>P206</w:t>
      </w:r>
      <w:r>
        <w:t>，但并未将优先遵循美国法规确立为多辖区管理的关键原则。相比之下，教材更直接地要求政策符合所有所在国法律</w:t>
      </w:r>
      <w:r>
        <w:rPr>
          <w:sz w:val="15"/>
          <w:vertAlign w:val="superscript"/>
        </w:rPr>
        <w:t>P292</w:t>
      </w:r>
      <w:r>
        <w:t>，因此B不如D匹配这一核心要求。</w:t>
      </w:r>
    </w:p>
    <w:p>
      <w:pPr>
        <w:spacing w:before="120" w:after="40"/>
      </w:pPr>
      <w:r>
        <w:rPr>
          <w:b/>
          <w:sz w:val="21"/>
          <w:shd w:fill="D6E4F0" w:val="clear"/>
        </w:rPr>
        <w:t>C项错误</w:t>
      </w:r>
    </w:p>
    <w:p>
      <w:pPr>
        <w:spacing w:line="360" w:lineRule="auto" w:after="40"/>
        <w:ind w:firstLine="420"/>
      </w:pPr>
      <w:r>
        <w:t>教材明确要求全球组织进行差距分析，确保政策涵盖当地法规，并允许区域政策反映地方法律和风险</w:t>
      </w:r>
      <w:r>
        <w:rPr>
          <w:sz w:val="15"/>
          <w:vertAlign w:val="superscript"/>
        </w:rPr>
        <w:t>P294</w:t>
      </w:r>
      <w:r>
        <w:t>。C否定当地适应性，与教材原则冲突，故远不如D符合关键考虑。</w:t>
      </w:r>
    </w:p>
    <w:p>
      <w:pPr>
        <w:spacing w:before="120" w:after="40"/>
      </w:pPr>
      <w:r>
        <w:rPr>
          <w:b/>
          <w:sz w:val="21"/>
          <w:shd w:fill="D6E4F0" w:val="clear"/>
        </w:rPr>
        <w:t>易错提醒</w:t>
      </w:r>
    </w:p>
    <w:p>
      <w:pPr>
        <w:spacing w:line="360" w:lineRule="auto" w:after="40"/>
        <w:ind w:firstLine="420"/>
      </w:pPr>
      <w:r>
        <w:t>美国制裁因美元重要性具有广泛影响力</w:t>
      </w:r>
      <w:r>
        <w:rPr>
          <w:sz w:val="15"/>
          <w:vertAlign w:val="superscript"/>
        </w:rPr>
        <w:t>P206</w:t>
      </w:r>
      <w:r>
        <w:t>，但这不意味着全球组织的合规政策应优先遵循美国法规。跨国合规的关键仍是政策符合每个运营所在国的当地法规</w:t>
      </w:r>
      <w:r>
        <w:rPr>
          <w:sz w:val="15"/>
          <w:vertAlign w:val="superscript"/>
        </w:rPr>
        <w:t>P292</w:t>
      </w:r>
      <w:r>
        <w:t>。</w:t>
      </w:r>
    </w:p>
    <w:p>
      <w:pPr>
        <w:spacing w:line="360" w:lineRule="auto" w:after="120"/>
      </w:pPr>
      <w:r/>
    </w:p>
    <w:p>
      <w:pPr>
        <w:spacing w:line="360" w:lineRule="auto" w:after="40"/>
      </w:pPr>
      <w:r>
        <w:t>3. In order to prevent financial crime risk, the implemented policies, controls, and procedures must: ( )</w:t>
      </w:r>
    </w:p>
    <w:p>
      <w:pPr>
        <w:spacing w:line="360" w:lineRule="auto" w:after="20"/>
        <w:ind w:firstLine="283"/>
      </w:pPr>
      <w:r>
        <w:t>A. Be proportionate to the size and nature of the firm, approved by senior management, and regularly reviewed</w:t>
      </w:r>
    </w:p>
    <w:p>
      <w:pPr>
        <w:spacing w:line="360" w:lineRule="auto" w:after="20"/>
        <w:ind w:firstLine="283"/>
      </w:pPr>
      <w:r>
        <w:t>B. Be created, approved, and owned only by the first line of defense and reviewed annually</w:t>
      </w:r>
    </w:p>
    <w:p>
      <w:pPr>
        <w:spacing w:line="360" w:lineRule="auto" w:after="20"/>
        <w:ind w:firstLine="283"/>
      </w:pPr>
      <w:r>
        <w:t>C. Be completed by the business and validated by an external firm</w:t>
      </w:r>
    </w:p>
    <w:p>
      <w:pPr>
        <w:spacing w:line="360" w:lineRule="auto" w:after="20"/>
        <w:ind w:firstLine="283"/>
      </w:pPr>
      <w:r>
        <w:t>D. Include sophisticated and automated controls using the newest available technologies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识别AFC政策的必备特征：相称性、高级管理层批准、定期审查</w:t>
      </w:r>
    </w:p>
    <w:p>
      <w:pPr>
        <w:spacing w:before="120" w:after="40"/>
      </w:pPr>
      <w:r>
        <w:rPr>
          <w:b/>
          <w:sz w:val="21"/>
          <w:shd w:fill="D6E4F0" w:val="clear"/>
        </w:rPr>
        <w:t>核心解析</w:t>
      </w:r>
    </w:p>
    <w:p>
      <w:pPr>
        <w:spacing w:line="360" w:lineRule="auto" w:after="40"/>
        <w:ind w:firstLine="420"/>
      </w:pPr>
      <w:r>
        <w:t>金融犯罪防控（AFC）政策和程序应根据组织的具体风险状况、风险偏好和规模量身定制</w:t>
      </w:r>
      <w:r>
        <w:rPr>
          <w:sz w:val="15"/>
          <w:vertAlign w:val="superscript"/>
        </w:rPr>
        <w:t>P294</w:t>
      </w:r>
      <w:r>
        <w:t>，即“相称性”。同时，教材要求董事会必须批准AFC计划以展示对合规的承诺</w:t>
      </w:r>
      <w:r>
        <w:rPr>
          <w:sz w:val="15"/>
          <w:vertAlign w:val="superscript"/>
        </w:rPr>
        <w:t>P259</w:t>
      </w:r>
      <w:r>
        <w:t>，这对应“经高级管理层批准”。此外，组织应定期（通常每年）审查并更新这些政策，且频率应基于风险性质，在风险状况可能变化时也需启动审查</w:t>
      </w:r>
      <w:r>
        <w:rPr>
          <w:sz w:val="15"/>
          <w:vertAlign w:val="superscript"/>
        </w:rPr>
        <w:t>P293</w:t>
      </w:r>
      <w:r>
        <w:t>，即“定期审查”。题干问“为防范金融犯罪风险，所实施的政策、控制措施和程序必须”具备何种特征，选项A完整覆盖了教材中这三项基本要求，因此正确。</w:t>
      </w:r>
    </w:p>
    <w:p>
      <w:pPr>
        <w:spacing w:before="120" w:after="40"/>
      </w:pPr>
      <w:r>
        <w:rPr>
          <w:b/>
          <w:sz w:val="21"/>
          <w:shd w:fill="D6E4F0" w:val="clear"/>
        </w:rPr>
        <w:t>教材原句</w:t>
      </w:r>
    </w:p>
    <w:p>
      <w:pPr>
        <w:spacing w:line="360" w:lineRule="auto" w:after="40"/>
        <w:ind w:firstLine="420"/>
      </w:pPr>
      <w:r>
        <w:t>"AFC policies and procedures should be tailored to the specific risk profile, risk appetite, and size of the organization."</w:t>
      </w:r>
    </w:p>
    <w:p>
      <w:pPr>
        <w:spacing w:before="120" w:after="40"/>
      </w:pPr>
      <w:r>
        <w:rPr>
          <w:b/>
          <w:sz w:val="21"/>
          <w:shd w:fill="D6E4F0" w:val="clear"/>
        </w:rPr>
        <w:t>B项错误</w:t>
      </w:r>
    </w:p>
    <w:p>
      <w:pPr>
        <w:spacing w:line="360" w:lineRule="auto" w:after="40"/>
        <w:ind w:firstLine="420"/>
      </w:pPr>
      <w:r>
        <w:t>B将政策所有权限定为“仅由第一道防线”，但教材明确第一道防线负责风险所有权和运营管理，而政策的批准和治理是高级管理层/董事会的职责</w:t>
      </w:r>
      <w:r>
        <w:rPr>
          <w:sz w:val="15"/>
          <w:vertAlign w:val="superscript"/>
        </w:rPr>
        <w:t>P256，P259</w:t>
      </w:r>
      <w:r>
        <w:t>，定期审查通常每年，但频率应由风险驱动</w:t>
      </w:r>
      <w:r>
        <w:rPr>
          <w:sz w:val="15"/>
          <w:vertAlign w:val="superscript"/>
        </w:rPr>
        <w:t>P293</w:t>
      </w:r>
      <w:r>
        <w:t>，并非一刀切的每年审查，且不能排除其他防线的参与。相比之下，A更直接匹配教材对治理结构和审查频率的整体要求。</w:t>
      </w:r>
    </w:p>
    <w:p>
      <w:pPr>
        <w:spacing w:before="120" w:after="40"/>
      </w:pPr>
      <w:r>
        <w:rPr>
          <w:b/>
          <w:sz w:val="21"/>
          <w:shd w:fill="D6E4F0" w:val="clear"/>
        </w:rPr>
        <w:t>C项错误</w:t>
      </w:r>
    </w:p>
    <w:p>
      <w:pPr>
        <w:spacing w:line="360" w:lineRule="auto" w:after="40"/>
        <w:ind w:firstLine="420"/>
      </w:pPr>
      <w:r>
        <w:t>C将政策完成主体限定为“业务部门”且验证主体限定为“外部公司”，但教材指出政策制定和批准应包含法律顾问、其他内部利益相关方以及适当的外部专家</w:t>
      </w:r>
      <w:r>
        <w:rPr>
          <w:sz w:val="15"/>
          <w:vertAlign w:val="superscript"/>
        </w:rPr>
        <w:t>P293</w:t>
      </w:r>
      <w:r>
        <w:t>，且独立测试是AFC计划的关键要素</w:t>
      </w:r>
      <w:r>
        <w:rPr>
          <w:sz w:val="15"/>
          <w:vertAlign w:val="superscript"/>
        </w:rPr>
        <w:t>P244</w:t>
      </w:r>
      <w:r>
        <w:t>，并不仅限于外部公司。题干条件更支持A所体现的多元参与与定期审查，而非C的单一业务部门加外部验证模式。</w:t>
      </w:r>
    </w:p>
    <w:p>
      <w:pPr>
        <w:spacing w:before="120" w:after="40"/>
      </w:pPr>
      <w:r>
        <w:rPr>
          <w:b/>
          <w:sz w:val="21"/>
          <w:shd w:fill="D6E4F0" w:val="clear"/>
        </w:rPr>
        <w:t>D项错误</w:t>
      </w:r>
    </w:p>
    <w:p>
      <w:pPr>
        <w:spacing w:line="360" w:lineRule="auto" w:after="40"/>
        <w:ind w:firstLine="420"/>
      </w:pPr>
      <w:r>
        <w:t>D强调“采用最新的可用技术”和“复杂且自动化的控制措施”，但教材并未将采用最新技术作为政策的唯一必须特征，而是强调平衡自动化与人工监督，根据风险状况选择适当技术</w:t>
      </w:r>
      <w:r>
        <w:rPr>
          <w:sz w:val="15"/>
          <w:vertAlign w:val="superscript"/>
        </w:rPr>
        <w:t>P452</w:t>
      </w:r>
      <w:r>
        <w:t>。题干问的是政策和控制措施本身必须满足的条件，A要求的相称性、管理层批准和审查是教材中直接陈述的基本原则，匹配度更高。</w:t>
      </w:r>
    </w:p>
    <w:p>
      <w:pPr>
        <w:spacing w:before="120" w:after="40"/>
      </w:pPr>
      <w:r>
        <w:rPr>
          <w:b/>
          <w:sz w:val="21"/>
          <w:shd w:fill="D6E4F0" w:val="clear"/>
        </w:rPr>
        <w:t>易错提醒</w:t>
      </w:r>
    </w:p>
    <w:p>
      <w:pPr>
        <w:spacing w:line="360" w:lineRule="auto" w:after="40"/>
        <w:ind w:firstLine="420"/>
      </w:pPr>
      <w:r>
        <w:t>三道防线各有职责：第一道防线负责风险所有权和日常管理，第二道防线负责咨询、政策和合规监控，第三道防线独立审计</w:t>
      </w:r>
      <w:r>
        <w:rPr>
          <w:sz w:val="15"/>
          <w:vertAlign w:val="superscript"/>
        </w:rPr>
        <w:t>P256</w:t>
      </w:r>
      <w:r>
        <w:t>。政策的审批权限在高级管理层/董事会，而非仅由第一道防线掌握。</w:t>
      </w:r>
    </w:p>
    <w:p>
      <w:pPr>
        <w:spacing w:line="360" w:lineRule="auto" w:after="120"/>
      </w:pPr>
      <w:r/>
    </w:p>
    <w:p>
      <w:pPr>
        <w:spacing w:line="360" w:lineRule="auto" w:after="40"/>
      </w:pPr>
      <w:r>
        <w:t>4. A compliance officer at a financial institution has completed an investigation into a high-risk customer's activities and determined that there are strong indications of money laundering. The compliance officer has documented their findings and is ready to recommend offboarding the customer. However, the relationship manager responsible for the customer is resistant to the idea, citing the customer's significant revenue contribution to the institution. What should the compliance officer do next to ensure the appropriate escalation and decision-making process is followed? ( )</w:t>
      </w:r>
    </w:p>
    <w:p>
      <w:pPr>
        <w:spacing w:line="360" w:lineRule="auto" w:after="20"/>
        <w:ind w:firstLine="283"/>
      </w:pPr>
      <w:r>
        <w:t>A. Escalate the matter to the institution's high-risk client committee, presenting the investigation findings and recommending offboarding while also acknowledging the relationship manager's concerns</w:t>
      </w:r>
    </w:p>
    <w:p>
      <w:pPr>
        <w:spacing w:line="360" w:lineRule="auto" w:after="20"/>
        <w:ind w:firstLine="283"/>
      </w:pPr>
      <w:r>
        <w:t>B. Proceed with offboarding the customer unilaterally based on their investigation findings and anti-money laundering (AML) concerns</w:t>
      </w:r>
    </w:p>
    <w:p>
      <w:pPr>
        <w:spacing w:line="360" w:lineRule="auto" w:after="20"/>
        <w:ind w:firstLine="283"/>
      </w:pPr>
      <w:r>
        <w:t>C. Attempt to persuade the relationship manager to agree with the offboarding recommendation by highlighting the potential reputational and regulatory risks associated with maintaining the relationship</w:t>
      </w:r>
    </w:p>
    <w:p>
      <w:pPr>
        <w:spacing w:line="360" w:lineRule="auto" w:after="20"/>
        <w:ind w:firstLine="283"/>
      </w:pPr>
      <w:r>
        <w:t>D. Delay the offboarding decision and continue monitoring the customer's activities, waiting for further evidence to solidify the reason for offboarding</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高风险客户审查委员会在客户退出决策中的上报机制</w:t>
      </w:r>
    </w:p>
    <w:p>
      <w:pPr>
        <w:spacing w:before="120" w:after="40"/>
      </w:pPr>
      <w:r>
        <w:rPr>
          <w:b/>
          <w:sz w:val="21"/>
          <w:shd w:fill="D6E4F0" w:val="clear"/>
        </w:rPr>
        <w:t>核心解析</w:t>
      </w:r>
    </w:p>
    <w:p>
      <w:pPr>
        <w:spacing w:line="360" w:lineRule="auto" w:after="40"/>
        <w:ind w:firstLine="420"/>
      </w:pPr>
      <w:r>
        <w:t>高风险客户审查委员会负责评估高风险客户的准入和持续尽职调查，并可就是否退出某一客户发表意见</w:t>
      </w:r>
      <w:r>
        <w:rPr>
          <w:sz w:val="15"/>
          <w:vertAlign w:val="superscript"/>
        </w:rPr>
        <w:t>P295、P296</w:t>
      </w:r>
      <w:r>
        <w:t>。同时，因涉嫌非法活动而终止客户关系必须获得批准</w:t>
      </w:r>
      <w:r>
        <w:rPr>
          <w:sz w:val="15"/>
          <w:vertAlign w:val="superscript"/>
        </w:rPr>
        <w:t>P303</w:t>
      </w:r>
      <w:r>
        <w:t>。本题中，合规官已调查出强烈的洗钱迹象，准备建议终止关系但遭遇客户经理反对。此时最符合流程的做法是将调查结果和建议上报该委员会，由委员会听取各方意见后做出决策，A 选项恰好体现了这一上报和集体决策路径。</w:t>
      </w:r>
    </w:p>
    <w:p>
      <w:pPr>
        <w:spacing w:before="120" w:after="40"/>
      </w:pPr>
      <w:r>
        <w:rPr>
          <w:b/>
          <w:sz w:val="21"/>
          <w:shd w:fill="D6E4F0" w:val="clear"/>
        </w:rPr>
        <w:t>B项错误</w:t>
      </w:r>
    </w:p>
    <w:p>
      <w:pPr>
        <w:spacing w:line="360" w:lineRule="auto" w:after="40"/>
        <w:ind w:firstLine="420"/>
      </w:pPr>
      <w:r>
        <w:t>单方面终止客户关系直接跳过了必需的内部审批程序。教材规定因涉嫌非法活动退出客户需要批准</w:t>
      </w:r>
      <w:r>
        <w:rPr>
          <w:sz w:val="15"/>
          <w:vertAlign w:val="superscript"/>
        </w:rPr>
        <w:t>P303</w:t>
      </w:r>
      <w:r>
        <w:t>，相比之下，A 选项通过委员会集体决策更符合流程要求。</w:t>
      </w:r>
    </w:p>
    <w:p>
      <w:pPr>
        <w:spacing w:before="120" w:after="40"/>
      </w:pPr>
      <w:r>
        <w:rPr>
          <w:b/>
          <w:sz w:val="21"/>
          <w:shd w:fill="D6E4F0" w:val="clear"/>
        </w:rPr>
        <w:t>C项错误</w:t>
      </w:r>
    </w:p>
    <w:p>
      <w:pPr>
        <w:spacing w:line="360" w:lineRule="auto" w:after="40"/>
        <w:ind w:firstLine="420"/>
      </w:pPr>
      <w:r>
        <w:t>试图说服客户经理虽然指出了声誉和监管风险，但并未将决策正式上报至治理委员会。关系经理存在利益冲突</w:t>
      </w:r>
      <w:r>
        <w:rPr>
          <w:sz w:val="15"/>
          <w:vertAlign w:val="superscript"/>
        </w:rPr>
        <w:t>P71</w:t>
      </w:r>
      <w:r>
        <w:t>，仅靠说服难以确保决策的独立性和合规性，不如 A 选项的上报机制直接有效。</w:t>
      </w:r>
    </w:p>
    <w:p>
      <w:pPr>
        <w:spacing w:before="120" w:after="40"/>
      </w:pPr>
      <w:r>
        <w:rPr>
          <w:b/>
          <w:sz w:val="21"/>
          <w:shd w:fill="D6E4F0" w:val="clear"/>
        </w:rPr>
        <w:t>D项错误</w:t>
      </w:r>
    </w:p>
    <w:p>
      <w:pPr>
        <w:spacing w:line="360" w:lineRule="auto" w:after="40"/>
        <w:ind w:firstLine="420"/>
      </w:pPr>
      <w:r>
        <w:t>推迟决定与已发现强烈洗钱迹象并完成调查的事实相悖。题干条件已支持立即建议退出，继续监控可能延误必要的风险缓释，且教材未将此行为列为调查完成后的首选动作，相比之下 A 选项的上报行动更紧迫且合规。</w:t>
      </w:r>
    </w:p>
    <w:p>
      <w:pPr>
        <w:spacing w:before="120" w:after="40"/>
      </w:pPr>
      <w:r>
        <w:rPr>
          <w:b/>
          <w:sz w:val="21"/>
          <w:shd w:fill="D6E4F0" w:val="clear"/>
        </w:rPr>
        <w:t>易错提醒</w:t>
      </w:r>
    </w:p>
    <w:p>
      <w:pPr>
        <w:spacing w:line="360" w:lineRule="auto" w:after="40"/>
        <w:ind w:firstLine="420"/>
      </w:pPr>
      <w:r>
        <w:t>调查完成后，合规官不能单方面决定终止高风险客户关系，必须提交至高风险客户审查委员会，依据机构治理流程集体决策。教材规定终止需经批准</w:t>
      </w:r>
      <w:r>
        <w:rPr>
          <w:sz w:val="15"/>
          <w:vertAlign w:val="superscript"/>
        </w:rPr>
        <w:t>P303</w:t>
      </w:r>
      <w:r>
        <w:t>，直接行动会违反内部合规要求。</w:t>
      </w:r>
    </w:p>
    <w:p>
      <w:pPr>
        <w:spacing w:line="360" w:lineRule="auto" w:after="120"/>
      </w:pPr>
      <w:r/>
    </w:p>
    <w:p>
      <w:pPr>
        <w:spacing w:line="360" w:lineRule="auto" w:after="40"/>
      </w:pPr>
      <w:r>
        <w:t>5. Which key metric provides senior management with information about the effectiveness of its AML controls? ( )</w:t>
      </w:r>
    </w:p>
    <w:p>
      <w:pPr>
        <w:spacing w:line="360" w:lineRule="auto" w:after="20"/>
        <w:ind w:firstLine="283"/>
      </w:pPr>
      <w:r>
        <w:t>A. The ratio of true positives to false positives generated by the automated monitoring system</w:t>
      </w:r>
    </w:p>
    <w:p>
      <w:pPr>
        <w:spacing w:line="360" w:lineRule="auto" w:after="20"/>
        <w:ind w:firstLine="283"/>
      </w:pPr>
      <w:r>
        <w:t>B. The number of money laundering alerts generated by the watchlist screening system</w:t>
      </w:r>
    </w:p>
    <w:p>
      <w:pPr>
        <w:spacing w:line="360" w:lineRule="auto" w:after="20"/>
        <w:ind w:firstLine="283"/>
      </w:pPr>
      <w:r>
        <w:t>C. The number of high-risk customers onboarded each month</w:t>
      </w:r>
    </w:p>
    <w:p>
      <w:pPr>
        <w:spacing w:line="360" w:lineRule="auto" w:after="20"/>
        <w:ind w:firstLine="283"/>
      </w:pPr>
      <w:r>
        <w:t>D. The number of clients exited for commercial reasons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区分关键绩效指标与关键风险指标的评价维度</w:t>
      </w:r>
    </w:p>
    <w:p>
      <w:pPr>
        <w:spacing w:before="120" w:after="40"/>
      </w:pPr>
      <w:r>
        <w:rPr>
          <w:b/>
          <w:sz w:val="21"/>
          <w:shd w:fill="D6E4F0" w:val="clear"/>
        </w:rPr>
        <w:t>核心解析</w:t>
      </w:r>
    </w:p>
    <w:p>
      <w:pPr>
        <w:spacing w:line="360" w:lineRule="auto" w:after="40"/>
        <w:ind w:firstLine="420"/>
      </w:pPr>
      <w:r>
        <w:t>题干问的是衡量反洗钱“控制措施有效性”的指标。教材将这类指标划入关键绩效指标的范畴，定义为衡量金融犯罪防控控制有效性的量化标准，具体包括可疑活动报告提交时限、筛查误报率降低情况等</w:t>
      </w:r>
      <w:r>
        <w:rPr>
          <w:sz w:val="15"/>
          <w:vertAlign w:val="superscript"/>
        </w:rPr>
        <w:t>P296</w:t>
      </w:r>
      <w:r>
        <w:t>。“真阳性与假阳性之比”这个指标，本质就是看监测系统抓准了多少、误报了多少——抓准的比例高、误报的比例低，就意味着识别可疑交易的系统更精准、更有效，直接落在上述定义范围内。相比之下，警报数量、新引入高风险客户数、商业原因退出的客户数，或者描述风险敞口，或者指向外部商业决策，并不直接回应“控制措施本身好不好用”这一问。</w:t>
      </w:r>
    </w:p>
    <w:p>
      <w:pPr>
        <w:spacing w:before="120" w:after="40"/>
      </w:pPr>
      <w:r>
        <w:rPr>
          <w:b/>
          <w:sz w:val="21"/>
          <w:shd w:fill="D6E4F0" w:val="clear"/>
        </w:rPr>
        <w:t>教材原句</w:t>
      </w:r>
    </w:p>
    <w:p>
      <w:pPr>
        <w:spacing w:line="360" w:lineRule="auto" w:after="40"/>
        <w:ind w:firstLine="420"/>
      </w:pPr>
      <w:r>
        <w:t>"Key performance indicators (KPI) are measures of AFC control effectiveness, such as SAR filing timelines, false positive reduction rates in screening, and alert resolution times."</w:t>
      </w:r>
    </w:p>
    <w:p>
      <w:pPr>
        <w:spacing w:before="120" w:after="40"/>
      </w:pPr>
      <w:r>
        <w:rPr>
          <w:b/>
          <w:sz w:val="21"/>
          <w:shd w:fill="D6E4F0" w:val="clear"/>
        </w:rPr>
        <w:t>B项错误</w:t>
      </w:r>
    </w:p>
    <w:p>
      <w:pPr>
        <w:spacing w:line="360" w:lineRule="auto" w:after="40"/>
        <w:ind w:firstLine="420"/>
      </w:pPr>
      <w:r>
        <w:t>警报数量描述的是系统触发了多少警报信号，教材虽然把它列为监控校准中的一项关键指标</w:t>
      </w:r>
      <w:r>
        <w:rPr>
          <w:sz w:val="15"/>
          <w:vertAlign w:val="superscript"/>
        </w:rPr>
        <w:t>P446</w:t>
      </w:r>
      <w:r>
        <w:t>，但它反映的是触发量的大小，与“控制措施是否精准有效”的匹配度不如能同时衡量命中与误报的比率来得直接。题干更匹配直接评价有效性的关键绩效指标，而非单纯的警报产量。</w:t>
      </w:r>
    </w:p>
    <w:p>
      <w:pPr>
        <w:spacing w:before="120" w:after="40"/>
      </w:pPr>
      <w:r>
        <w:rPr>
          <w:b/>
          <w:sz w:val="21"/>
          <w:shd w:fill="D6E4F0" w:val="clear"/>
        </w:rPr>
        <w:t>C项错误</w:t>
      </w:r>
    </w:p>
    <w:p>
      <w:pPr>
        <w:spacing w:line="360" w:lineRule="auto" w:after="40"/>
        <w:ind w:firstLine="420"/>
      </w:pPr>
      <w:r>
        <w:t>每月新引入的高风险客户数量反映的是风险敞口的流入情况，在教材框架中属于评估金融犯罪防控风险的关键风险指标</w:t>
      </w:r>
      <w:r>
        <w:rPr>
          <w:sz w:val="15"/>
          <w:vertAlign w:val="superscript"/>
        </w:rPr>
        <w:t>P296</w:t>
      </w:r>
      <w:r>
        <w:t>，侧重衡量风险本身，题干要求的却是对控制措施有效性的评价，在衡量维度上不如真阳性与假阳性之比更吻合。</w:t>
      </w:r>
    </w:p>
    <w:p>
      <w:pPr>
        <w:spacing w:before="120" w:after="40"/>
      </w:pPr>
      <w:r>
        <w:rPr>
          <w:b/>
          <w:sz w:val="21"/>
          <w:shd w:fill="D6E4F0" w:val="clear"/>
        </w:rPr>
        <w:t>D项错误</w:t>
      </w:r>
    </w:p>
    <w:p>
      <w:pPr>
        <w:spacing w:line="360" w:lineRule="auto" w:after="40"/>
        <w:ind w:firstLine="420"/>
      </w:pPr>
      <w:r>
        <w:t>题干未提及客户退出的原因为合规相关，选项明确限定为“因商业原因退出”，与反洗钱控制措施的有效性没有直接关联。教材中提及因合规原因退出的客户名单</w:t>
      </w:r>
      <w:r>
        <w:rPr>
          <w:sz w:val="15"/>
          <w:vertAlign w:val="superscript"/>
        </w:rPr>
        <w:t>P466</w:t>
      </w:r>
      <w:r>
        <w:t>或欺诈终止关系</w:t>
      </w:r>
      <w:r>
        <w:rPr>
          <w:sz w:val="15"/>
          <w:vertAlign w:val="superscript"/>
        </w:rPr>
        <w:t>P422</w:t>
      </w:r>
      <w:r>
        <w:t>均为与金融犯罪风险相关的情形，与商业原因属于不同范畴。</w:t>
      </w:r>
    </w:p>
    <w:p>
      <w:pPr>
        <w:spacing w:before="120" w:after="40"/>
      </w:pPr>
      <w:r>
        <w:rPr>
          <w:b/>
          <w:sz w:val="21"/>
          <w:shd w:fill="D6E4F0" w:val="clear"/>
        </w:rPr>
        <w:t>易错提醒</w:t>
      </w:r>
    </w:p>
    <w:p>
      <w:pPr>
        <w:spacing w:line="360" w:lineRule="auto" w:after="40"/>
        <w:ind w:firstLine="420"/>
      </w:pPr>
      <w:r>
        <w:t>关键风险指标衡量的是风险敞口（如可疑交易量、高风险客户数），回答“有多险”；关键绩效指标衡量的是控制措施的成效（如误报率、报告时限），回答“管得怎么样”。题目问的是“有效性”，匹配的是关键绩效指标。</w:t>
      </w:r>
    </w:p>
    <w:p>
      <w:pPr>
        <w:spacing w:line="360" w:lineRule="auto" w:after="120"/>
      </w:pPr>
      <w:r/>
    </w:p>
    <w:p>
      <w:pPr>
        <w:spacing w:line="360" w:lineRule="auto" w:after="40"/>
      </w:pPr>
      <w:r>
        <w:t>6. In order to prevent financial crime risk, the implemented policies, controls, and procedures must: ( )</w:t>
      </w:r>
    </w:p>
    <w:p>
      <w:pPr>
        <w:spacing w:line="360" w:lineRule="auto" w:after="20"/>
        <w:ind w:firstLine="283"/>
      </w:pPr>
      <w:r>
        <w:t>A. Include sophisticated and automated controls that use the newest types of technology available, for example artificial intelligence (AI) and machine learning</w:t>
      </w:r>
    </w:p>
    <w:p>
      <w:pPr>
        <w:spacing w:line="360" w:lineRule="auto" w:after="20"/>
        <w:ind w:firstLine="283"/>
      </w:pPr>
      <w:r>
        <w:t>B. Be proportionate with regard to the size and nature of the firm, approved by senior management, and regularly reviewed</w:t>
      </w:r>
    </w:p>
    <w:p>
      <w:pPr>
        <w:spacing w:line="360" w:lineRule="auto" w:after="20"/>
        <w:ind w:firstLine="283"/>
      </w:pPr>
      <w:r>
        <w:t>C. Be completed by the business and validated by an external firm, for example an auditing or consulting firm</w:t>
      </w:r>
    </w:p>
    <w:p>
      <w:pPr>
        <w:spacing w:line="360" w:lineRule="auto" w:after="20"/>
        <w:ind w:firstLine="283"/>
      </w:pPr>
      <w:r>
        <w:t>D. Be created, approved, and owned only by first-line business teams, and reviewed annually</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金融犯罪防控政策程序的核心要求：相称性、高管批准、定期审查</w:t>
      </w:r>
    </w:p>
    <w:p>
      <w:pPr>
        <w:spacing w:before="120" w:after="40"/>
      </w:pPr>
      <w:r>
        <w:rPr>
          <w:b/>
          <w:sz w:val="21"/>
          <w:shd w:fill="D6E4F0" w:val="clear"/>
        </w:rPr>
        <w:t>核心解析</w:t>
      </w:r>
    </w:p>
    <w:p>
      <w:pPr>
        <w:spacing w:line="360" w:lineRule="auto" w:after="40"/>
        <w:ind w:firstLine="420"/>
      </w:pPr>
      <w:r>
        <w:t>金融犯罪防控（AFC）政策和程序应根据组织的具体风险状况、风险偏好和规模量身定制</w:t>
      </w:r>
      <w:r>
        <w:rPr>
          <w:sz w:val="15"/>
          <w:vertAlign w:val="superscript"/>
        </w:rPr>
        <w:t>P294</w:t>
      </w:r>
      <w:r>
        <w:t>，董事会必须批准AFC计划以展示合规承诺</w:t>
      </w:r>
      <w:r>
        <w:rPr>
          <w:sz w:val="15"/>
          <w:vertAlign w:val="superscript"/>
        </w:rPr>
        <w:t>P259</w:t>
      </w:r>
      <w:r>
        <w:t>，且机构应定期（通常每年）审查和更新这些政策</w:t>
      </w:r>
      <w:r>
        <w:rPr>
          <w:sz w:val="15"/>
          <w:vertAlign w:val="superscript"/>
        </w:rPr>
        <w:t>P293</w:t>
      </w:r>
      <w:r>
        <w:t>。题干要求所实施的政策、控制措施和程序必须满足的条件，B项同时覆盖了相称性、高级管理层批准和定期审查三项教材规定的核心要求，因此直接成立。</w:t>
      </w:r>
    </w:p>
    <w:p>
      <w:pPr>
        <w:spacing w:before="120" w:after="40"/>
      </w:pPr>
      <w:r>
        <w:rPr>
          <w:b/>
          <w:sz w:val="21"/>
          <w:shd w:fill="D6E4F0" w:val="clear"/>
        </w:rPr>
        <w:t>教材原句</w:t>
      </w:r>
    </w:p>
    <w:p>
      <w:pPr>
        <w:spacing w:line="360" w:lineRule="auto" w:after="40"/>
        <w:ind w:firstLine="420"/>
      </w:pPr>
      <w:r>
        <w:t>"AFC policies and procedures should be tailored to the specific risk profile, risk appetite, and size of the organization."</w:t>
      </w:r>
    </w:p>
    <w:p>
      <w:pPr>
        <w:spacing w:before="120" w:after="40"/>
      </w:pPr>
      <w:r>
        <w:rPr>
          <w:b/>
          <w:sz w:val="21"/>
          <w:shd w:fill="D6E4F0" w:val="clear"/>
        </w:rPr>
        <w:t>A项错误</w:t>
      </w:r>
    </w:p>
    <w:p>
      <w:pPr>
        <w:spacing w:line="360" w:lineRule="auto" w:after="40"/>
        <w:ind w:firstLine="420"/>
      </w:pPr>
      <w:r>
        <w:t>教材鼓励投资先进监控技术以防范金融犯罪</w:t>
      </w:r>
      <w:r>
        <w:rPr>
          <w:sz w:val="15"/>
          <w:vertAlign w:val="superscript"/>
        </w:rPr>
        <w:t>P44</w:t>
      </w:r>
      <w:r>
        <w:t>，但并未规定政策必须包含最新技术如人工智能和机器学习。政策的核心要求是“相称”，而非强制使用特定技术，因此B比A更直接匹配题干所问的“必须”条件。</w:t>
      </w:r>
    </w:p>
    <w:p>
      <w:pPr>
        <w:spacing w:before="120" w:after="40"/>
      </w:pPr>
      <w:r>
        <w:rPr>
          <w:b/>
          <w:sz w:val="21"/>
          <w:shd w:fill="D6E4F0" w:val="clear"/>
        </w:rPr>
        <w:t>C项错误</w:t>
      </w:r>
    </w:p>
    <w:p>
      <w:pPr>
        <w:spacing w:line="360" w:lineRule="auto" w:after="40"/>
        <w:ind w:firstLine="420"/>
      </w:pPr>
      <w:r>
        <w:t>独立测试是AFC项目的关键要素</w:t>
      </w:r>
      <w:r>
        <w:rPr>
          <w:sz w:val="15"/>
          <w:vertAlign w:val="superscript"/>
        </w:rPr>
        <w:t>P243</w:t>
      </w:r>
      <w:r>
        <w:t>，但教材未要求政策和程序必须由外部机构（如审计或咨询公司）进行验证。独立测试可由内部行使，题干条件更直接匹配B项所包含的相称性、批准和审查要求。</w:t>
      </w:r>
    </w:p>
    <w:p>
      <w:pPr>
        <w:spacing w:before="120" w:after="40"/>
      </w:pPr>
      <w:r>
        <w:rPr>
          <w:b/>
          <w:sz w:val="21"/>
          <w:shd w:fill="D6E4F0" w:val="clear"/>
        </w:rPr>
        <w:t>D项错误</w:t>
      </w:r>
    </w:p>
    <w:p>
      <w:pPr>
        <w:spacing w:line="360" w:lineRule="auto" w:after="40"/>
        <w:ind w:firstLine="420"/>
      </w:pPr>
      <w:r>
        <w:t>教材指出董事会和高级管理层需批准和监督AFC计划（P259-260），第一道防线负责执行，但政策创建、批准并非仅由第一道防线。B项中“经高级管理层批准”更吻合教材对治理层角色的定义。</w:t>
      </w:r>
    </w:p>
    <w:p>
      <w:pPr>
        <w:spacing w:before="120" w:after="40"/>
      </w:pPr>
      <w:r>
        <w:rPr>
          <w:b/>
          <w:sz w:val="21"/>
          <w:shd w:fill="D6E4F0" w:val="clear"/>
        </w:rPr>
        <w:t>易错提醒</w:t>
      </w:r>
    </w:p>
    <w:p>
      <w:pPr>
        <w:spacing w:line="360" w:lineRule="auto" w:after="40"/>
        <w:ind w:firstLine="420"/>
      </w:pPr>
      <w:r>
        <w:t>独立测试（independent testing）是AFC项目关键要素，但不强制由外部机构执行；可由内部审计或独立合规部门完成</w:t>
      </w:r>
      <w:r>
        <w:rPr>
          <w:sz w:val="15"/>
          <w:vertAlign w:val="superscript"/>
        </w:rPr>
        <w:t>P243</w:t>
      </w:r>
      <w:r>
        <w:t>。注意区分“必须由外部验证”与“独立测试”的边界。</w:t>
      </w:r>
    </w:p>
    <w:p>
      <w:pPr>
        <w:spacing w:line="360" w:lineRule="auto" w:after="120"/>
      </w:pPr>
      <w:r/>
    </w:p>
    <w:p>
      <w:pPr>
        <w:spacing w:line="360" w:lineRule="auto" w:after="40"/>
      </w:pPr>
      <w:r>
        <w:t>7. A compliance officer is developing management reporting information to provide leadership with insights into the financial crime risk related to an institution's customer population. Which of the following is a key risk indicator to include in the reporting to allow leadership to monitor whether there are any key changes to the inherent risk of the customer population? (Choose two.) ( )</w:t>
      </w:r>
    </w:p>
    <w:p>
      <w:pPr>
        <w:spacing w:line="360" w:lineRule="auto" w:after="20"/>
        <w:ind w:firstLine="283"/>
      </w:pPr>
      <w:r>
        <w:t>A. Percentage of regulatory reports for high-risk customers not completed within the required regulatory deadlines</w:t>
      </w:r>
    </w:p>
    <w:p>
      <w:pPr>
        <w:spacing w:line="360" w:lineRule="auto" w:after="20"/>
        <w:ind w:firstLine="283"/>
      </w:pPr>
      <w:r>
        <w:t>B. Percentage change of transaction monitoring alerts escalated for investigation compared to the previous quarter</w:t>
      </w:r>
    </w:p>
    <w:p>
      <w:pPr>
        <w:spacing w:line="360" w:lineRule="auto" w:after="20"/>
        <w:ind w:firstLine="283"/>
      </w:pPr>
      <w:r>
        <w:t>C. Percentage of customers for whom onboarding verification was not completed within KYC policy service-level agreement (SLA) requirements</w:t>
      </w:r>
    </w:p>
    <w:p>
      <w:pPr>
        <w:spacing w:line="360" w:lineRule="auto" w:after="20"/>
        <w:ind w:firstLine="283"/>
      </w:pPr>
      <w:r>
        <w:t>D. Number and percentage of newly onboarded senior politically exposed persons (PEPs) in the past quarter compared to all active customers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区分关键风险指标(KRI)与关键绩效指标(KPI)</w:t>
      </w:r>
    </w:p>
    <w:p>
      <w:pPr>
        <w:spacing w:before="120" w:after="40"/>
      </w:pPr>
      <w:r>
        <w:rPr>
          <w:b/>
          <w:sz w:val="21"/>
          <w:shd w:fill="D6E4F0" w:val="clear"/>
        </w:rPr>
        <w:t>核心解析</w:t>
      </w:r>
    </w:p>
    <w:p>
      <w:pPr>
        <w:spacing w:line="360" w:lineRule="auto" w:after="40"/>
        <w:ind w:firstLine="420"/>
      </w:pPr>
      <w:r>
        <w:t>固有风险指机构在应用任何缓解控制措施之前面临的金融犯罪风险水平</w:t>
      </w:r>
      <w:r>
        <w:rPr>
          <w:sz w:val="15"/>
          <w:vertAlign w:val="superscript"/>
        </w:rPr>
        <w:t>P275</w:t>
      </w:r>
      <w:r>
        <w:t>。关键风险指标（KRI）是用于评估金融犯罪风险的定量和定性指标，包括可疑交易量及趋势、尽职调查积压和监控系统缺陷等</w:t>
      </w:r>
      <w:r>
        <w:rPr>
          <w:sz w:val="15"/>
          <w:vertAlign w:val="superscript"/>
        </w:rPr>
        <w:t>P296</w:t>
      </w:r>
      <w:r>
        <w:t>。题干要求通过报告监测“客户群体固有风险是否出现任何重大变化”，因此排除衡量控制有效性的指标。选项B“提交调查的交易监控警报数量的百分比变化”直接反映客户异常交易活动的风险趋势，属于KRI中的可疑交易量趋势；选项D“新签约的高级政治公众人物（PEP）数量及占比”反映高风险客户在客户群体中的构成变化，也与固有风险直接相关。两者都能指示客户群体固有风险是否发生重大变动，同时避开了衡量流程效率或控制及时性的指标。</w:t>
      </w:r>
    </w:p>
    <w:p>
      <w:pPr>
        <w:spacing w:before="120" w:after="40"/>
      </w:pPr>
      <w:r>
        <w:rPr>
          <w:b/>
          <w:sz w:val="21"/>
          <w:shd w:fill="D6E4F0" w:val="clear"/>
        </w:rPr>
        <w:t>教材原句</w:t>
      </w:r>
    </w:p>
    <w:p>
      <w:pPr>
        <w:spacing w:line="360" w:lineRule="auto" w:after="40"/>
        <w:ind w:firstLine="420"/>
      </w:pPr>
      <w:r>
        <w:t>"Key risk indicators (KRI) are quantitative and qualitative metrics assessing AFC risks, including suspicious transaction volumes and trends, due diligence review backlog, and monitoring system deficiencies."</w:t>
      </w:r>
    </w:p>
    <w:p>
      <w:pPr>
        <w:spacing w:before="120" w:after="40"/>
      </w:pPr>
      <w:r>
        <w:rPr>
          <w:b/>
          <w:sz w:val="21"/>
          <w:shd w:fill="D6E4F0" w:val="clear"/>
        </w:rPr>
        <w:t>A项错误</w:t>
      </w:r>
    </w:p>
    <w:p>
      <w:pPr>
        <w:spacing w:line="360" w:lineRule="auto" w:after="40"/>
        <w:ind w:firstLine="420"/>
      </w:pPr>
      <w:r>
        <w:t>选项A测量的是监管报告是否在时限内完成，更吻合关键绩效指标（KPI）的定义——衡量控制措施的有效性，如可疑活动报告提交时限等</w:t>
      </w:r>
      <w:r>
        <w:rPr>
          <w:sz w:val="15"/>
          <w:vertAlign w:val="superscript"/>
        </w:rPr>
        <w:t>P296</w:t>
      </w:r>
      <w:r>
        <w:t>。题干关注固有风险的变化，而时限完成率反映的是机构控制流程的执行效率，不如选项B、D那样直接体现客户群体风险水平的波动。</w:t>
      </w:r>
    </w:p>
    <w:p>
      <w:pPr>
        <w:spacing w:before="120" w:after="40"/>
      </w:pPr>
      <w:r>
        <w:rPr>
          <w:b/>
          <w:sz w:val="21"/>
          <w:shd w:fill="D6E4F0" w:val="clear"/>
        </w:rPr>
        <w:t>C项错误</w:t>
      </w:r>
    </w:p>
    <w:p>
      <w:pPr>
        <w:spacing w:line="360" w:lineRule="auto" w:after="40"/>
        <w:ind w:firstLine="420"/>
      </w:pPr>
      <w:r>
        <w:t>选项C衡量开户验证是否在KYC政策的SLA时限内完成，属于运营流程的效率指标，与教材中KPI的示例（如误报降低率、警报解决时间等）更为匹配。在监测固有风险变化的要求下，开户验证的时效性无法直接体现客户群体所蕴含的洗钱等金融犯罪风险本身的起伏，相较于正确项，它更偏向控制执行而非风险本质。</w:t>
      </w:r>
    </w:p>
    <w:p>
      <w:pPr>
        <w:spacing w:before="120" w:after="40"/>
      </w:pPr>
      <w:r>
        <w:rPr>
          <w:b/>
          <w:sz w:val="21"/>
          <w:shd w:fill="D6E4F0" w:val="clear"/>
        </w:rPr>
        <w:t>易错提醒</w:t>
      </w:r>
    </w:p>
    <w:p>
      <w:pPr>
        <w:spacing w:line="360" w:lineRule="auto" w:after="40"/>
        <w:ind w:firstLine="420"/>
      </w:pPr>
      <w:r>
        <w:t>KRI与KPI的核心区分：KRI衡量风险本身的水平和变化（如可疑交易量趋势、高风险客户占比），KPI衡量控制措施的效果与效率（如报告提交时限、误报降低率）。两者均在内部报告中出现</w:t>
      </w:r>
      <w:r>
        <w:rPr>
          <w:sz w:val="15"/>
          <w:vertAlign w:val="superscript"/>
        </w:rPr>
        <w:t>P296</w:t>
      </w:r>
      <w:r>
        <w:t>，但题干锁定“固有风险变化”，故只能选KRI。</w:t>
      </w:r>
    </w:p>
    <w:p>
      <w:pPr>
        <w:spacing w:line="360" w:lineRule="auto" w:after="120"/>
      </w:pPr>
      <w:r/>
    </w:p>
    <w:p>
      <w:pPr>
        <w:spacing w:line="360" w:lineRule="auto" w:after="40"/>
      </w:pPr>
      <w:r>
        <w:t>8. A committee should have a clear and precise definition of its mandate to ensure effective functioning and governance, set out in a document often referred to as the Terms of Reference (ToR). Which key features are generally included in the Terms of Reference? (Select Three.) ( )</w:t>
      </w:r>
    </w:p>
    <w:p>
      <w:pPr>
        <w:spacing w:line="360" w:lineRule="auto" w:after="20"/>
        <w:ind w:firstLine="283"/>
      </w:pPr>
      <w:r>
        <w:t>A. Organization chart of the attendees</w:t>
      </w:r>
    </w:p>
    <w:p>
      <w:pPr>
        <w:spacing w:line="360" w:lineRule="auto" w:after="20"/>
        <w:ind w:firstLine="283"/>
      </w:pPr>
      <w:r>
        <w:t>B. Extent of power and decision-making abilities</w:t>
      </w:r>
    </w:p>
    <w:p>
      <w:pPr>
        <w:spacing w:line="360" w:lineRule="auto" w:after="20"/>
        <w:ind w:firstLine="283"/>
      </w:pPr>
      <w:r>
        <w:t>C. Company culture and values</w:t>
      </w:r>
    </w:p>
    <w:p>
      <w:pPr>
        <w:spacing w:line="360" w:lineRule="auto" w:after="20"/>
        <w:ind w:firstLine="283"/>
      </w:pPr>
      <w:r>
        <w:t>D. Composition and structure</w:t>
      </w:r>
    </w:p>
    <w:p>
      <w:pPr>
        <w:spacing w:line="360" w:lineRule="auto" w:after="20"/>
        <w:ind w:firstLine="283"/>
      </w:pPr>
      <w:r>
        <w:t>E. Delegation of authority</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委员会“职权范围”文件的核心构成要素</w:t>
      </w:r>
    </w:p>
    <w:p>
      <w:pPr>
        <w:spacing w:before="120" w:after="40"/>
      </w:pPr>
      <w:r>
        <w:rPr>
          <w:b/>
          <w:sz w:val="21"/>
          <w:shd w:fill="D6E4F0" w:val="clear"/>
        </w:rPr>
        <w:t>核心解析</w:t>
      </w:r>
    </w:p>
    <w:p>
      <w:pPr>
        <w:spacing w:line="360" w:lineRule="auto" w:after="40"/>
        <w:ind w:firstLine="420"/>
      </w:pPr>
      <w:r>
        <w:t>委员会必须依据一份概述其任务、职责和权力的职权范围文件运作</w:t>
      </w:r>
      <w:r>
        <w:rPr>
          <w:sz w:val="15"/>
          <w:vertAlign w:val="superscript"/>
        </w:rPr>
        <w:t>P294</w:t>
      </w:r>
      <w:r>
        <w:t>。这决定了该文件的核心是界定委员会能做什么、由谁组成、以及内部权限如何分配。题干要求选出职权范围文件通常包含的关键要素：选项B“权力范围和决策能力”直接对应文件中的“权力”；选项D“组成与结构”是任务和职责得以履行的基础架构，教材也强调治理委员会必须根据风险状况等要素进行构建</w:t>
      </w:r>
      <w:r>
        <w:rPr>
          <w:sz w:val="15"/>
          <w:vertAlign w:val="superscript"/>
        </w:rPr>
        <w:t>P294</w:t>
      </w:r>
      <w:r>
        <w:t>；选项E“权限的授予”则体现了职权范围文件中关于职责和权力如何在组织内分配的治理功能。这三个选项共同勾勒出委员会“做什么、谁来做、权限如何”的完整治理框架，与教材的定义最吻合。</w:t>
      </w:r>
    </w:p>
    <w:p>
      <w:pPr>
        <w:spacing w:before="120" w:after="40"/>
      </w:pPr>
      <w:r>
        <w:rPr>
          <w:b/>
          <w:sz w:val="21"/>
          <w:shd w:fill="D6E4F0" w:val="clear"/>
        </w:rPr>
        <w:t>教材原句</w:t>
      </w:r>
    </w:p>
    <w:p>
      <w:pPr>
        <w:spacing w:line="360" w:lineRule="auto" w:after="40"/>
        <w:ind w:firstLine="420"/>
      </w:pPr>
      <w:r>
        <w:t>"Each committee must operate under a terms-of-reference document, which outlines its mandate, responsibilities, and authority."</w:t>
      </w:r>
    </w:p>
    <w:p>
      <w:pPr>
        <w:spacing w:before="120" w:after="40"/>
      </w:pPr>
      <w:r>
        <w:rPr>
          <w:b/>
          <w:sz w:val="21"/>
          <w:shd w:fill="D6E4F0" w:val="clear"/>
        </w:rPr>
        <w:t>A项错误</w:t>
      </w:r>
    </w:p>
    <w:p>
      <w:pPr>
        <w:spacing w:line="360" w:lineRule="auto" w:after="40"/>
        <w:ind w:firstLine="420"/>
      </w:pPr>
      <w:r>
        <w:t>“参会人员组织结构图”更像是落实一次具体会议所需的后勤文件，而非界定委员会自身权限和架构的章程性文件。教材在P294虽提及会议纪要需记录具体决定和反对意见，但组织架构图通常由企业自身的行政规定决定，在匹配度上不如直接围绕职责和权力的正确项。</w:t>
      </w:r>
    </w:p>
    <w:p>
      <w:pPr>
        <w:spacing w:before="120" w:after="40"/>
      </w:pPr>
      <w:r>
        <w:rPr>
          <w:b/>
          <w:sz w:val="21"/>
          <w:shd w:fill="D6E4F0" w:val="clear"/>
        </w:rPr>
        <w:t>C项错误</w:t>
      </w:r>
    </w:p>
    <w:p>
      <w:pPr>
        <w:spacing w:line="360" w:lineRule="auto" w:after="40"/>
        <w:ind w:firstLine="420"/>
      </w:pPr>
      <w:r>
        <w:t>教材在阐述“高层基调”和合规文化时，将其视为董事会认可和领导层倡导的结果</w:t>
      </w:r>
      <w:r>
        <w:rPr>
          <w:sz w:val="15"/>
          <w:vertAlign w:val="superscript"/>
        </w:rPr>
        <w:t>P259，P264</w:t>
      </w:r>
      <w:r>
        <w:t>，这是一种贯穿整个组织的价值导向。相比之下，选项B、D、E定义的是委员会职权范围文件中更直接的、事务性的治理功能，因此“公司文化与价值观”在概念层级上与职权范围文件的匹配度较低。</w:t>
      </w:r>
    </w:p>
    <w:p>
      <w:pPr>
        <w:spacing w:before="120" w:after="40"/>
      </w:pPr>
      <w:r>
        <w:rPr>
          <w:b/>
          <w:sz w:val="21"/>
          <w:shd w:fill="D6E4F0" w:val="clear"/>
        </w:rPr>
        <w:t>易错提醒</w:t>
      </w:r>
    </w:p>
    <w:p>
      <w:pPr>
        <w:spacing w:line="360" w:lineRule="auto" w:after="40"/>
        <w:ind w:firstLine="420"/>
      </w:pPr>
      <w:r>
        <w:t>区分“委员会职权范围”与“公司治理文件”：委员会职权范围文件（ToR）聚焦于界定任务、职责、权力、组成与内部授权等操作性要素</w:t>
      </w:r>
      <w:r>
        <w:rPr>
          <w:sz w:val="15"/>
          <w:vertAlign w:val="superscript"/>
        </w:rPr>
        <w:t>P294</w:t>
      </w:r>
      <w:r>
        <w:t>。公司文化、价值观等则属于“高层基调”范畴，由董事会声明和合规文化来倡导（P259, P264），不属于委员会职权范围文件需定义的内容。</w:t>
      </w:r>
    </w:p>
    <w:p>
      <w:pPr>
        <w:spacing w:line="360" w:lineRule="auto" w:after="120"/>
      </w:pPr>
      <w:r/>
    </w:p>
    <w:p>
      <w:pPr>
        <w:spacing w:line="360" w:lineRule="auto" w:after="40"/>
      </w:pPr>
      <w:r>
        <w:t>9. An adequate organizational policy is: (Choose Two.) ( )</w:t>
      </w:r>
    </w:p>
    <w:p>
      <w:pPr>
        <w:spacing w:line="360" w:lineRule="auto" w:after="20"/>
        <w:ind w:firstLine="283"/>
      </w:pPr>
      <w:r>
        <w:t>A. Up to date and reflective of all relevant regulatory developments.</w:t>
      </w:r>
    </w:p>
    <w:p>
      <w:pPr>
        <w:spacing w:line="360" w:lineRule="auto" w:after="20"/>
        <w:ind w:firstLine="283"/>
      </w:pPr>
      <w:r>
        <w:t>B. Signed off by the board of directors and regulators.</w:t>
      </w:r>
    </w:p>
    <w:p>
      <w:pPr>
        <w:spacing w:line="360" w:lineRule="auto" w:after="20"/>
        <w:ind w:firstLine="283"/>
      </w:pPr>
      <w:r>
        <w:t>C. Approved by the clients and third parties.</w:t>
      </w:r>
    </w:p>
    <w:p>
      <w:pPr>
        <w:spacing w:line="360" w:lineRule="auto" w:after="20"/>
        <w:ind w:firstLine="283"/>
      </w:pPr>
      <w:r>
        <w:t>D. Clearly communicated to and understood by staff.</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金融犯罪防控政策的充分性标准：更新频率与传达有效性</w:t>
      </w:r>
    </w:p>
    <w:p>
      <w:pPr>
        <w:spacing w:before="120" w:after="40"/>
      </w:pPr>
      <w:r>
        <w:rPr>
          <w:b/>
          <w:sz w:val="21"/>
          <w:shd w:fill="D6E4F0" w:val="clear"/>
        </w:rPr>
        <w:t>核心解析</w:t>
      </w:r>
    </w:p>
    <w:p>
      <w:pPr>
        <w:spacing w:line="360" w:lineRule="auto" w:after="40"/>
        <w:ind w:firstLine="420"/>
      </w:pPr>
      <w:r>
        <w:t>教材对“恰当的”金融犯罪防控政策给出两条核心标准：一是内容必须持续更新——受监管机构须制定书面金融犯罪防控政策和程序</w:t>
      </w:r>
      <w:r>
        <w:rPr>
          <w:sz w:val="15"/>
          <w:vertAlign w:val="superscript"/>
        </w:rPr>
        <w:t>P293</w:t>
      </w:r>
      <w:r>
        <w:t>，且由于金融犯罪防控环境高度动态，组织需进行地平线扫描以关注新兴问题和监管动态</w:t>
      </w:r>
      <w:r>
        <w:rPr>
          <w:sz w:val="15"/>
          <w:vertAlign w:val="superscript"/>
        </w:rPr>
        <w:t>P293</w:t>
      </w:r>
      <w:r>
        <w:t>，因此政策必须“最新且反映了所有相关的监管动态”；二是政策必须被员工获取和理解——批准后的政策和程序应持续对所有员工开放可访问</w:t>
      </w:r>
      <w:r>
        <w:rPr>
          <w:sz w:val="15"/>
          <w:vertAlign w:val="superscript"/>
        </w:rPr>
        <w:t>P293</w:t>
      </w:r>
      <w:r>
        <w:t>，且组织应批准、记录并及时向员工传达任何变更</w:t>
      </w:r>
      <w:r>
        <w:rPr>
          <w:sz w:val="15"/>
          <w:vertAlign w:val="superscript"/>
        </w:rPr>
        <w:t>P293</w:t>
      </w:r>
      <w:r>
        <w:t>，因此政策必须“向员工清晰传达并被其理解”。选项A对应更新要求，选项D对应传达要求，两者在教材同章同页被并列规定为政策的充分性要件。</w:t>
      </w:r>
    </w:p>
    <w:p>
      <w:pPr>
        <w:spacing w:before="120" w:after="40"/>
      </w:pPr>
      <w:r>
        <w:rPr>
          <w:b/>
          <w:sz w:val="21"/>
          <w:shd w:fill="D6E4F0" w:val="clear"/>
        </w:rPr>
        <w:t>教材原句</w:t>
      </w:r>
    </w:p>
    <w:p>
      <w:pPr>
        <w:spacing w:line="360" w:lineRule="auto" w:after="40"/>
        <w:ind w:firstLine="420"/>
      </w:pPr>
      <w:r>
        <w:t>"Once approved, policies and procedures should be accessible to all employees on an ongoing basis."</w:t>
      </w:r>
    </w:p>
    <w:p>
      <w:pPr>
        <w:spacing w:before="120" w:after="40"/>
      </w:pPr>
      <w:r>
        <w:rPr>
          <w:b/>
          <w:sz w:val="21"/>
          <w:shd w:fill="D6E4F0" w:val="clear"/>
        </w:rPr>
        <w:t>B项错误</w:t>
      </w:r>
    </w:p>
    <w:p>
      <w:pPr>
        <w:spacing w:line="360" w:lineRule="auto" w:after="40"/>
        <w:ind w:firstLine="420"/>
      </w:pPr>
      <w:r>
        <w:t>教材规定政策的制定和批准应包含法律顾问、其他内部利益相关方及适当的外部专家参与</w:t>
      </w:r>
      <w:r>
        <w:rPr>
          <w:sz w:val="15"/>
          <w:vertAlign w:val="superscript"/>
        </w:rPr>
        <w:t>P293</w:t>
      </w:r>
      <w:r>
        <w:t>，而非必须经监管机构批准。监管机构是政策合规性的检查者，不是审批者。董事会负有监督职责</w:t>
      </w:r>
      <w:r>
        <w:rPr>
          <w:sz w:val="15"/>
          <w:vertAlign w:val="superscript"/>
        </w:rPr>
        <w:t>P289</w:t>
      </w:r>
      <w:r>
        <w:t>，但其角色是批准风险偏好声明</w:t>
      </w:r>
      <w:r>
        <w:rPr>
          <w:sz w:val="15"/>
          <w:vertAlign w:val="superscript"/>
        </w:rPr>
        <w:t>P243</w:t>
      </w:r>
      <w:r>
        <w:t>而非逐项批准政策内容。题干问的是“恰当的组织政策”的普遍特征，政策须经监管机构批准这一要求在教材框架中缺乏依据，与A、D两项相比，匹配度不如。</w:t>
      </w:r>
    </w:p>
    <w:p>
      <w:pPr>
        <w:spacing w:before="120" w:after="40"/>
      </w:pPr>
      <w:r>
        <w:rPr>
          <w:b/>
          <w:sz w:val="21"/>
          <w:shd w:fill="D6E4F0" w:val="clear"/>
        </w:rPr>
        <w:t>C项错误</w:t>
      </w:r>
    </w:p>
    <w:p>
      <w:pPr>
        <w:spacing w:line="360" w:lineRule="auto" w:after="40"/>
        <w:ind w:firstLine="420"/>
      </w:pPr>
      <w:r>
        <w:t>教材显示客户和第三方是金融机构尽调的对象（P310-P313），客户和第三方批准政策的逻辑等于让被监督对象审批监督规则。题干要求的“组织政策”是金融机构内部治理文件，其制定权限限于组织自身及内部利益相关方，选项C所涉主体在教材政策制定框架中不存在匹配要素。</w:t>
      </w:r>
    </w:p>
    <w:p>
      <w:pPr>
        <w:spacing w:before="120" w:after="40"/>
      </w:pPr>
      <w:r>
        <w:rPr>
          <w:b/>
          <w:sz w:val="21"/>
          <w:shd w:fill="D6E4F0" w:val="clear"/>
        </w:rPr>
        <w:t>易错提醒</w:t>
      </w:r>
    </w:p>
    <w:p>
      <w:pPr>
        <w:spacing w:line="360" w:lineRule="auto" w:after="40"/>
        <w:ind w:firstLine="420"/>
      </w:pPr>
      <w:r>
        <w:t>董事会“监督”不等于“批准政策内容”。教材规定董事会批准风险偏好声明</w:t>
      </w:r>
      <w:r>
        <w:rPr>
          <w:sz w:val="15"/>
          <w:vertAlign w:val="superscript"/>
        </w:rPr>
        <w:t>P243</w:t>
      </w:r>
      <w:r>
        <w:t>，并须积极监督反洗钱合规</w:t>
      </w:r>
      <w:r>
        <w:rPr>
          <w:sz w:val="15"/>
          <w:vertAlign w:val="superscript"/>
        </w:rPr>
        <w:t>P289</w:t>
      </w:r>
      <w:r>
        <w:t>，但政策的制定和批准应包含法律顾问等利益相关方</w:t>
      </w:r>
      <w:r>
        <w:rPr>
          <w:sz w:val="15"/>
          <w:vertAlign w:val="superscript"/>
        </w:rPr>
        <w:t>P293</w:t>
      </w:r>
      <w:r>
        <w:t>，未要求董事会逐项审批政策。题干选项B将“监督”和“批准”概念混淆为审批动作。</w:t>
      </w:r>
    </w:p>
    <w:p>
      <w:pPr>
        <w:spacing w:line="360" w:lineRule="auto" w:after="120"/>
      </w:pPr>
      <w:r/>
    </w:p>
    <w:p>
      <w:pPr>
        <w:spacing w:line="360" w:lineRule="auto" w:after="40"/>
      </w:pPr>
      <w:r>
        <w:t>10. What are the primary sources of reference besides AML laws and regulations when developing and maintaining the AML policies, standards, and procedures of a bank? (Choose Three.) ( )</w:t>
      </w:r>
    </w:p>
    <w:p>
      <w:pPr>
        <w:spacing w:line="360" w:lineRule="auto" w:after="20"/>
        <w:ind w:firstLine="283"/>
      </w:pPr>
      <w:r>
        <w:t>A. National risk assessment.</w:t>
      </w:r>
    </w:p>
    <w:p>
      <w:pPr>
        <w:spacing w:line="360" w:lineRule="auto" w:after="20"/>
        <w:ind w:firstLine="283"/>
      </w:pPr>
      <w:r>
        <w:t>B. Regulatory guidance or publications.</w:t>
      </w:r>
    </w:p>
    <w:p>
      <w:pPr>
        <w:spacing w:line="360" w:lineRule="auto" w:after="20"/>
        <w:ind w:firstLine="283"/>
      </w:pPr>
      <w:r>
        <w:t>C. Government or state-run newspapers.</w:t>
      </w:r>
    </w:p>
    <w:p>
      <w:pPr>
        <w:spacing w:line="360" w:lineRule="auto" w:after="20"/>
        <w:ind w:firstLine="283"/>
      </w:pPr>
      <w:r>
        <w:t>D. Guidance issued by international bodies.</w:t>
      </w:r>
    </w:p>
    <w:p>
      <w:pPr>
        <w:spacing w:line="360" w:lineRule="auto" w:after="20"/>
        <w:ind w:firstLine="283"/>
      </w:pPr>
      <w:r>
        <w:t>E. Policies and procedures developed by other banks.</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识别制定AML政策时除法律外应参考的指引来源</w:t>
      </w:r>
    </w:p>
    <w:p>
      <w:pPr>
        <w:spacing w:before="120" w:after="40"/>
      </w:pPr>
      <w:r>
        <w:rPr>
          <w:b/>
          <w:sz w:val="21"/>
          <w:shd w:fill="D6E4F0" w:val="clear"/>
        </w:rPr>
        <w:t>核心解析</w:t>
      </w:r>
    </w:p>
    <w:p>
      <w:pPr>
        <w:spacing w:line="360" w:lineRule="auto" w:after="40"/>
        <w:ind w:firstLine="420"/>
      </w:pPr>
      <w:r>
        <w:t>制定银行反洗钱政策与程序时，除遵守国家反洗钱法律外，教材指出机构通常会选择将其政策与金融行动特别工作组（FATF）建议、巴塞尔委员会（BCBS）指南以及监管预期保持一致</w:t>
      </w:r>
      <w:r>
        <w:rPr>
          <w:sz w:val="15"/>
          <w:vertAlign w:val="superscript"/>
        </w:rPr>
        <w:t>P291</w:t>
      </w:r>
      <w:r>
        <w:t>。国家风险评估（NRA）识别国家层面的洗钱与恐怖融资威胁及高风险领域</w:t>
      </w:r>
      <w:r>
        <w:rPr>
          <w:sz w:val="15"/>
          <w:vertAlign w:val="superscript"/>
        </w:rPr>
        <w:t>P268</w:t>
      </w:r>
      <w:r>
        <w:t>，为基于风险的方法量身定制政策提供关键依据。监管机构发布的指导文件虽然通常无法律强制力，但监管机构期望银行考虑并纳入其反洗钱控制</w:t>
      </w:r>
      <w:r>
        <w:rPr>
          <w:sz w:val="15"/>
          <w:vertAlign w:val="superscript"/>
        </w:rPr>
        <w:t>P224</w:t>
      </w:r>
      <w:r>
        <w:t>。国际组织（如FATF、世界银行等）发布的指导文件亦被教材列为制定风险评估和反洗钱框架的重要方法来源（P225, P170）。因此，选项A（国家风险评估）、B（监管指导或出版物）和D（国际组织发布的指导文件）均构成制定政策时应直接参考的非法律法规来源。</w:t>
      </w:r>
    </w:p>
    <w:p>
      <w:pPr>
        <w:spacing w:before="120" w:after="40"/>
      </w:pPr>
      <w:r>
        <w:rPr>
          <w:b/>
          <w:sz w:val="21"/>
          <w:shd w:fill="D6E4F0" w:val="clear"/>
        </w:rPr>
        <w:t>教材原句</w:t>
      </w:r>
    </w:p>
    <w:p>
      <w:pPr>
        <w:spacing w:line="360" w:lineRule="auto" w:after="40"/>
        <w:ind w:firstLine="420"/>
      </w:pPr>
      <w:r>
        <w:t>"Institutions typically choose to align their policies with FATF Recommendations, Basel Committee on Banking Supervision (BCBS) guidelines, national AML laws, and regulatory expectations."</w:t>
      </w:r>
    </w:p>
    <w:p>
      <w:pPr>
        <w:spacing w:before="120" w:after="40"/>
      </w:pPr>
      <w:r>
        <w:rPr>
          <w:b/>
          <w:sz w:val="21"/>
          <w:shd w:fill="D6E4F0" w:val="clear"/>
        </w:rPr>
        <w:t>C项错误</w:t>
      </w:r>
    </w:p>
    <w:p>
      <w:pPr>
        <w:spacing w:line="360" w:lineRule="auto" w:after="40"/>
        <w:ind w:firstLine="420"/>
      </w:pPr>
      <w:r>
        <w:t>教材在列举制定政策应参考的来源时，明确指向监管机构发布的指导文件和国家风险评估等正式文件（P224, P268），并未将政府或国有报纸视为直接的政策制定参考。报纸虽可能报道相关动态，但不如监管机构正式发布的指导文件那样具备针对性和规范效力。</w:t>
      </w:r>
    </w:p>
    <w:p>
      <w:pPr>
        <w:spacing w:before="120" w:after="40"/>
      </w:pPr>
      <w:r>
        <w:rPr>
          <w:b/>
          <w:sz w:val="21"/>
          <w:shd w:fill="D6E4F0" w:val="clear"/>
        </w:rPr>
        <w:t>E项错误</w:t>
      </w:r>
    </w:p>
    <w:p>
      <w:pPr>
        <w:spacing w:line="360" w:lineRule="auto" w:after="40"/>
        <w:ind w:firstLine="420"/>
      </w:pPr>
      <w:r>
        <w:t>教材要求政策必须根据机构自身的风险敞口、客户概况和地理风险因素量身定制</w:t>
      </w:r>
      <w:r>
        <w:rPr>
          <w:sz w:val="15"/>
          <w:vertAlign w:val="superscript"/>
        </w:rPr>
        <w:t>P292</w:t>
      </w:r>
      <w:r>
        <w:t>，并与FATF建议、巴塞尔委员会指南及监管预期保持一致</w:t>
      </w:r>
      <w:r>
        <w:rPr>
          <w:sz w:val="15"/>
          <w:vertAlign w:val="superscript"/>
        </w:rPr>
        <w:t>P291</w:t>
      </w:r>
      <w:r>
        <w:t>。其他银行的实践可能有参考价值，但在教材框架下，直接参照其他银行既成的政策和程序，不如依据监管指引和国际标准那样贴合风险为本和合规为本的原则。</w:t>
      </w:r>
    </w:p>
    <w:p>
      <w:pPr>
        <w:spacing w:before="120" w:after="40"/>
      </w:pPr>
      <w:r>
        <w:rPr>
          <w:b/>
          <w:sz w:val="21"/>
          <w:shd w:fill="D6E4F0" w:val="clear"/>
        </w:rPr>
        <w:t>易错提醒</w:t>
      </w:r>
    </w:p>
    <w:p>
      <w:pPr>
        <w:spacing w:line="360" w:lineRule="auto" w:after="40"/>
        <w:ind w:firstLine="420"/>
      </w:pPr>
      <w:r>
        <w:t>区分监管机构发布的正式“指导文件”（guidance）与政府运营的报纸。前者被教材列为制定政策时须考虑的直接参考</w:t>
      </w:r>
      <w:r>
        <w:rPr>
          <w:sz w:val="15"/>
          <w:vertAlign w:val="superscript"/>
        </w:rPr>
        <w:t>P224</w:t>
      </w:r>
      <w:r>
        <w:t>，后者仅为一般信息渠道，教材未将其作为政策制定参考来源。</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