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The manager of a bank's KYC team discovers that a high-risk customer's activity was not reviewed last quarter as the bank's internal schedule required. What should the KYC team manager do? ( )</w:t>
      </w:r>
    </w:p>
    <w:p>
      <w:pPr>
        <w:spacing w:line="360" w:lineRule="auto" w:after="20"/>
        <w:ind w:firstLine="283"/>
      </w:pPr>
      <w:r>
        <w:t>A. Submit a referral to file a suspicious activity report (SAR)</w:t>
      </w:r>
    </w:p>
    <w:p>
      <w:pPr>
        <w:spacing w:line="360" w:lineRule="auto" w:after="20"/>
        <w:ind w:firstLine="283"/>
      </w:pPr>
      <w:r>
        <w:t>B. Evaluate the KYC review process to understand why the review did not occur as required and take corrective action as necessary</w:t>
      </w:r>
    </w:p>
    <w:p>
      <w:pPr>
        <w:spacing w:line="360" w:lineRule="auto" w:after="20"/>
        <w:ind w:firstLine="283"/>
      </w:pPr>
      <w:r>
        <w:t>C. Contact the customer's relationship manager to suspend account access until the periodic KYC review is completed</w:t>
      </w:r>
    </w:p>
    <w:p>
      <w:pPr>
        <w:spacing w:line="360" w:lineRule="auto" w:after="20"/>
        <w:ind w:firstLine="283"/>
      </w:pPr>
      <w:r>
        <w:t>D. Remove the customer from the bank's high-risk list</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KYC审查流程未按时间表执行时，优先评估流程并采取纠正措施</w:t>
      </w:r>
    </w:p>
    <w:p>
      <w:pPr>
        <w:spacing w:before="120" w:after="40"/>
      </w:pPr>
      <w:r>
        <w:rPr>
          <w:b/>
          <w:sz w:val="21"/>
          <w:shd w:fill="D6E4F0" w:val="clear"/>
        </w:rPr>
        <w:t>核心解析</w:t>
      </w:r>
    </w:p>
    <w:p>
      <w:pPr>
        <w:spacing w:line="360" w:lineRule="auto" w:after="40"/>
        <w:ind w:firstLine="420"/>
      </w:pPr>
      <w:r>
        <w:t>质量控制（QC）的功能之一是“通过识别不完整、不正确或过时的KYC记录来检测和纠正错误”</w:t>
      </w:r>
      <w:r>
        <w:rPr>
          <w:sz w:val="15"/>
          <w:vertAlign w:val="superscript"/>
        </w:rPr>
        <w:t>P313</w:t>
      </w:r>
      <w:r>
        <w:t>，同时组织应“根据治理协议报告指标，并在必要时采取纠正措施”</w:t>
      </w:r>
      <w:r>
        <w:rPr>
          <w:sz w:val="15"/>
          <w:vertAlign w:val="superscript"/>
        </w:rPr>
        <w:t>P464</w:t>
      </w:r>
      <w:r>
        <w:t>。题干中经理发现高风险客户的活动未按内部规定的时间表进行审查——这属于KYC审查流程出现执行缺口，审查缺失很可能导致客户记录过时或信息不完整。在教材框架下，这种情况首先指向的是流程本身的问题，需要评估为何审查未发生并实施纠正，而非在没有可疑活动迹象的情况下直接升级到提交可疑活动报告（SAR）或采取暂停账户等限制性措施。由此可推断，B项最直接匹配题干条件——先定位流程根源，再视需要纠正。</w:t>
      </w:r>
    </w:p>
    <w:p>
      <w:pPr>
        <w:spacing w:before="120" w:after="40"/>
      </w:pPr>
      <w:r>
        <w:rPr>
          <w:b/>
          <w:sz w:val="21"/>
          <w:shd w:fill="D6E4F0" w:val="clear"/>
        </w:rPr>
        <w:t>教材原句</w:t>
      </w:r>
    </w:p>
    <w:p>
      <w:pPr>
        <w:spacing w:line="360" w:lineRule="auto" w:after="40"/>
        <w:ind w:firstLine="420"/>
      </w:pPr>
      <w:r>
        <w:t>"Error detection and correction by identifying incomplete, incorrect, or outdated KYC records."</w:t>
      </w:r>
    </w:p>
    <w:p>
      <w:pPr>
        <w:spacing w:before="120" w:after="40"/>
      </w:pPr>
      <w:r>
        <w:rPr>
          <w:b/>
          <w:sz w:val="21"/>
          <w:shd w:fill="D6E4F0" w:val="clear"/>
        </w:rPr>
        <w:t>A项错误</w:t>
      </w:r>
    </w:p>
    <w:p>
      <w:pPr>
        <w:spacing w:line="360" w:lineRule="auto" w:after="40"/>
        <w:ind w:firstLine="420"/>
      </w:pPr>
      <w:r>
        <w:t>提交SAR的触发条件是“一旦怀疑或知悉洗钱等犯罪活动”</w:t>
      </w:r>
      <w:r>
        <w:rPr>
          <w:sz w:val="15"/>
          <w:vertAlign w:val="superscript"/>
        </w:rPr>
        <w:t>P352</w:t>
      </w:r>
      <w:r>
        <w:t>，而题干只描述了审查未按时进行，并未提供任何与洗钱、恐怖融资或其他犯罪活动相关的可疑线索。在教材框架下，审查缺失更直接指向流程执行问题，而非客户行为可疑，因此B项比A项更吻合题干条件。</w:t>
      </w:r>
    </w:p>
    <w:p>
      <w:pPr>
        <w:spacing w:before="120" w:after="40"/>
      </w:pPr>
      <w:r>
        <w:rPr>
          <w:b/>
          <w:sz w:val="21"/>
          <w:shd w:fill="D6E4F0" w:val="clear"/>
        </w:rPr>
        <w:t>C项错误</w:t>
      </w:r>
    </w:p>
    <w:p>
      <w:pPr>
        <w:spacing w:line="360" w:lineRule="auto" w:after="40"/>
        <w:ind w:firstLine="420"/>
      </w:pPr>
      <w:r>
        <w:t>暂停账户访问权限通常需要存在明确的触发因素（如交易异常、负面媒体或欺诈风险），教材在持续KYC的触发事件中列举了交易模式异常、负面媒体报道、公司结构变化等</w:t>
      </w:r>
      <w:r>
        <w:rPr>
          <w:sz w:val="15"/>
          <w:vertAlign w:val="superscript"/>
        </w:rPr>
        <w:t>P406</w:t>
      </w:r>
      <w:r>
        <w:t>。题干仅表明审查未按时间表完成，缺乏上述任何触发暂停措施的风险信号，相比之下B项更直接匹配题干所呈现的流程缺口问题。</w:t>
      </w:r>
    </w:p>
    <w:p>
      <w:pPr>
        <w:spacing w:before="120" w:after="40"/>
      </w:pPr>
      <w:r>
        <w:rPr>
          <w:b/>
          <w:sz w:val="21"/>
          <w:shd w:fill="D6E4F0" w:val="clear"/>
        </w:rPr>
        <w:t>D项错误</w:t>
      </w:r>
    </w:p>
    <w:p>
      <w:pPr>
        <w:spacing w:line="360" w:lineRule="auto" w:after="40"/>
        <w:ind w:firstLine="420"/>
      </w:pPr>
      <w:r>
        <w:t>客户风险状况变化时，应“重新执行客户风险评估（CRA）并考虑进一步风险缓释措施”</w:t>
      </w:r>
      <w:r>
        <w:rPr>
          <w:sz w:val="15"/>
          <w:vertAlign w:val="superscript"/>
        </w:rPr>
        <w:t>P358</w:t>
      </w:r>
      <w:r>
        <w:t>，但题干并没有任何事实表明客户的风险状况已降低到可以移除高风险名单的程度。审查未按时执行本身不构成调降风险等级的依据，B项所代表的“先评估流程、后纠正”的路径比D项更符合教材对风险决策的审慎要求。</w:t>
      </w:r>
    </w:p>
    <w:p>
      <w:pPr>
        <w:spacing w:before="120" w:after="40"/>
      </w:pPr>
      <w:r>
        <w:rPr>
          <w:b/>
          <w:sz w:val="21"/>
          <w:shd w:fill="D6E4F0" w:val="clear"/>
        </w:rPr>
        <w:t>易错提醒</w:t>
      </w:r>
    </w:p>
    <w:p>
      <w:pPr>
        <w:spacing w:line="360" w:lineRule="auto" w:after="40"/>
        <w:ind w:firstLine="420"/>
      </w:pPr>
      <w:r>
        <w:t>KYC审查缺失属于流程执行问题，反映的是内部控制缺口；而SAR针对的是客户行为本身的可疑性。教材分别在QC功能</w:t>
      </w:r>
      <w:r>
        <w:rPr>
          <w:sz w:val="15"/>
          <w:vertAlign w:val="superscript"/>
        </w:rPr>
        <w:t>P313</w:t>
      </w:r>
      <w:r>
        <w:t>和SAR义务</w:t>
      </w:r>
      <w:r>
        <w:rPr>
          <w:sz w:val="15"/>
          <w:vertAlign w:val="superscript"/>
        </w:rPr>
        <w:t>P352</w:t>
      </w:r>
      <w:r>
        <w:t>中处理这两个维度，不能因为审查未按时完成就推断客户存在可疑活动。</w:t>
      </w:r>
    </w:p>
    <w:p>
      <w:pPr>
        <w:spacing w:line="360" w:lineRule="auto" w:after="120"/>
      </w:pPr>
      <w:r/>
    </w:p>
    <w:p>
      <w:pPr>
        <w:spacing w:line="360" w:lineRule="auto" w:after="40"/>
      </w:pPr>
      <w:r>
        <w:t>2. A financial institution's (FI's) policy is to apply enhanced due diligence (EDD) for every new client to ensure the effectiveness of the program. How should a consultant advise the FI's management team? ( )</w:t>
      </w:r>
    </w:p>
    <w:p>
      <w:pPr>
        <w:spacing w:line="360" w:lineRule="auto" w:after="20"/>
        <w:ind w:firstLine="283"/>
      </w:pPr>
      <w:r>
        <w:t>A. Suggest the FI needs to implement a risk-based approach for EDD</w:t>
      </w:r>
    </w:p>
    <w:p>
      <w:pPr>
        <w:spacing w:line="360" w:lineRule="auto" w:after="20"/>
        <w:ind w:firstLine="283"/>
      </w:pPr>
      <w:r>
        <w:t>B. Suggest the management team select the clients that are chosen for EDD</w:t>
      </w:r>
    </w:p>
    <w:p>
      <w:pPr>
        <w:spacing w:line="360" w:lineRule="auto" w:after="20"/>
        <w:ind w:firstLine="283"/>
      </w:pPr>
      <w:r>
        <w:t>C. Suggest the management team ask the regulator for advice on EDD measures</w:t>
      </w:r>
    </w:p>
    <w:p>
      <w:pPr>
        <w:spacing w:line="360" w:lineRule="auto" w:after="20"/>
        <w:ind w:firstLine="283"/>
      </w:pPr>
      <w:r>
        <w:t>D. Suggest EDD for 50% of the clients is appropriate</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运用风险导向方法论区分不同客户实施不同等级的尽职调查</w:t>
      </w:r>
    </w:p>
    <w:p>
      <w:pPr>
        <w:spacing w:before="120" w:after="40"/>
      </w:pPr>
      <w:r>
        <w:rPr>
          <w:b/>
          <w:sz w:val="21"/>
          <w:shd w:fill="D6E4F0" w:val="clear"/>
        </w:rPr>
        <w:t>核心解析</w:t>
      </w:r>
    </w:p>
    <w:p>
      <w:pPr>
        <w:spacing w:line="360" w:lineRule="auto" w:after="40"/>
        <w:ind w:firstLine="420"/>
      </w:pPr>
      <w:r>
        <w:t>基于风险的尽职调查原则要求金融机构依据客户实际风险等级匹配相应的尽职调查强度</w:t>
      </w:r>
      <w:r>
        <w:rPr>
          <w:sz w:val="15"/>
          <w:vertAlign w:val="superscript"/>
        </w:rPr>
        <w:t>P304</w:t>
      </w:r>
      <w:r>
        <w:t>。题干中，金融机构对“每一位新客户”都实施强化尽职调查，这意味着低风险客户也要承受高风险等级的措施，直接背离了“高风险客户需EDD，低风险客户可适用SDD”的风险分层逻辑</w:t>
      </w:r>
      <w:r>
        <w:rPr>
          <w:sz w:val="15"/>
          <w:vertAlign w:val="superscript"/>
        </w:rPr>
        <w:t>P285</w:t>
      </w:r>
      <w:r>
        <w:t>。正确项A“对EDD采取基于风险的方法”正是纠正这一偏差：顾问应建议机构先进行风险评估，识别出真正的高风险客户</w:t>
      </w:r>
      <w:r>
        <w:rPr>
          <w:sz w:val="15"/>
          <w:vertAlign w:val="superscript"/>
        </w:rPr>
        <w:t>P254、P366</w:t>
      </w:r>
      <w:r>
        <w:t>，再将EDD聚焦于这些客户而非全员，从而使措施与风险相对应。</w:t>
      </w:r>
    </w:p>
    <w:p>
      <w:pPr>
        <w:spacing w:before="120" w:after="40"/>
      </w:pPr>
      <w:r>
        <w:rPr>
          <w:b/>
          <w:sz w:val="21"/>
          <w:shd w:fill="D6E4F0" w:val="clear"/>
        </w:rPr>
        <w:t>教材原句</w:t>
      </w:r>
    </w:p>
    <w:p>
      <w:pPr>
        <w:spacing w:line="360" w:lineRule="auto" w:after="40"/>
        <w:ind w:firstLine="420"/>
      </w:pPr>
      <w:r>
        <w:t>"With evolving global regulatory frameworks, financial institutions must implement risk-based due diligence to prevent financial crime."</w:t>
      </w:r>
    </w:p>
    <w:p>
      <w:pPr>
        <w:spacing w:before="120" w:after="40"/>
      </w:pPr>
      <w:r>
        <w:rPr>
          <w:b/>
          <w:sz w:val="21"/>
          <w:shd w:fill="D6E4F0" w:val="clear"/>
        </w:rPr>
        <w:t>B项错误</w:t>
      </w:r>
    </w:p>
    <w:p>
      <w:pPr>
        <w:spacing w:line="360" w:lineRule="auto" w:after="40"/>
        <w:ind w:firstLine="420"/>
      </w:pPr>
      <w:r>
        <w:t>管理团队“选定接受EDD的客户”确实能筛出部分高风险对象，但主观选定缺乏客观统一的风险评估依据。正确项A基于风险评估的方法在教材中被确立为体系化流程（需进行客户和交易风险评估来识别高风险客户，P254），比由管理团队直接选定更契合教材对制度设计的整体要求。</w:t>
      </w:r>
    </w:p>
    <w:p>
      <w:pPr>
        <w:spacing w:before="120" w:after="40"/>
      </w:pPr>
      <w:r>
        <w:rPr>
          <w:b/>
          <w:sz w:val="21"/>
          <w:shd w:fill="D6E4F0" w:val="clear"/>
        </w:rPr>
        <w:t>C项错误</w:t>
      </w:r>
    </w:p>
    <w:p>
      <w:pPr>
        <w:spacing w:line="360" w:lineRule="auto" w:after="40"/>
        <w:ind w:firstLine="420"/>
      </w:pPr>
      <w:r>
        <w:t>“建议管理团队就加强尽职调查措施向监管机构寻求建议.”与题干给出的“金融机构(FI)的政策是对每一位新客户都实施强化尽职调查(EDD),以确保该计划的有效性.顾问应如何向该金融机构的管理团队提供建议？”不一致。</w:t>
      </w:r>
    </w:p>
    <w:p>
      <w:pPr>
        <w:spacing w:before="120" w:after="40"/>
      </w:pPr>
      <w:r>
        <w:rPr>
          <w:b/>
          <w:sz w:val="21"/>
          <w:shd w:fill="D6E4F0" w:val="clear"/>
        </w:rPr>
        <w:t>D项错误</w:t>
      </w:r>
    </w:p>
    <w:p>
      <w:pPr>
        <w:spacing w:line="360" w:lineRule="auto" w:after="40"/>
        <w:ind w:firstLine="420"/>
      </w:pPr>
      <w:r>
        <w:t>使用固定比例（如50%）来划定EDD范围仍是一种机械的一刀切做法，未将措施与单个客户的实际风险状况挂钩。相比之下，正确项A要求根据风险高低灵活分配尽职调查强度，更吻合教材中“高风险客户需EDD，低风险客户可适用SDD”的风险匹配原则</w:t>
      </w:r>
      <w:r>
        <w:rPr>
          <w:sz w:val="15"/>
          <w:vertAlign w:val="superscript"/>
        </w:rPr>
        <w:t>P285</w:t>
      </w:r>
      <w:r>
        <w:t>。</w:t>
      </w:r>
    </w:p>
    <w:p>
      <w:pPr>
        <w:spacing w:line="360" w:lineRule="auto" w:after="120"/>
      </w:pPr>
      <w:r/>
    </w:p>
    <w:p>
      <w:pPr>
        <w:spacing w:line="360" w:lineRule="auto" w:after="40"/>
      </w:pPr>
      <w:r>
        <w:t>3. In which of the following scenarios should the customer be deemed to have an overly complex ownership structure? ( )</w:t>
      </w:r>
    </w:p>
    <w:p>
      <w:pPr>
        <w:spacing w:line="360" w:lineRule="auto" w:after="20"/>
        <w:ind w:firstLine="283"/>
      </w:pPr>
      <w:r>
        <w:t>A. A privately held company owned by two individuals whose interests are held by a series of trusts and foundations</w:t>
      </w:r>
    </w:p>
    <w:p>
      <w:pPr>
        <w:spacing w:line="360" w:lineRule="auto" w:after="20"/>
        <w:ind w:firstLine="283"/>
      </w:pPr>
      <w:r>
        <w:t>B. A trust set up with two co-trustees, one of whom is the grantor and the other is a corporate service provider</w:t>
      </w:r>
    </w:p>
    <w:p>
      <w:pPr>
        <w:spacing w:line="360" w:lineRule="auto" w:after="20"/>
        <w:ind w:firstLine="283"/>
      </w:pPr>
      <w:r>
        <w:t>C. A customer that is owned by two families with the involvement of over a dozen owners within the families</w:t>
      </w:r>
    </w:p>
    <w:p>
      <w:pPr>
        <w:spacing w:line="360" w:lineRule="auto" w:after="20"/>
        <w:ind w:firstLine="283"/>
      </w:pPr>
      <w:r>
        <w:t>D. A multinational correspondent bank that has three layers of ownership between it and a publicly traded bank holding company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复杂所有权结构的识别：离岸持股、名义董事或UBO不明确</w:t>
      </w:r>
    </w:p>
    <w:p>
      <w:pPr>
        <w:spacing w:before="120" w:after="40"/>
      </w:pPr>
      <w:r>
        <w:rPr>
          <w:b/>
          <w:sz w:val="21"/>
          <w:shd w:fill="D6E4F0" w:val="clear"/>
        </w:rPr>
        <w:t>核心解析</w:t>
      </w:r>
    </w:p>
    <w:p>
      <w:pPr>
        <w:spacing w:line="360" w:lineRule="auto" w:after="40"/>
        <w:ind w:firstLine="420"/>
      </w:pPr>
      <w:r>
        <w:t>复杂所有权结构指实体拥有离岸持股、名义董事或最终受益所有人不明确</w:t>
      </w:r>
      <w:r>
        <w:rPr>
          <w:sz w:val="15"/>
          <w:vertAlign w:val="superscript"/>
        </w:rPr>
        <w:t>P312</w:t>
      </w:r>
      <w:r>
        <w:t>。多层所有权的复杂商业结构会掩盖受益所有人，增加尽职调查难度</w:t>
      </w:r>
      <w:r>
        <w:rPr>
          <w:sz w:val="15"/>
          <w:vertAlign w:val="superscript"/>
        </w:rPr>
        <w:t>P73</w:t>
      </w:r>
      <w:r>
        <w:t>。选项A中，一家私人公司的权益由一系列信托和基金会持有，层层嵌套的信托和基金会使最终受益所有人难以识别，直接对应上述特征。相比之下，其他选项或所有关系明确，或仅为信托内部受托人角色安排，未呈现掩盖最终受益所有人的多层所有权结构，因此A最匹配教材对“过于复杂的股权结构”的界定。</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B项错误</w:t>
      </w:r>
    </w:p>
    <w:p>
      <w:pPr>
        <w:spacing w:line="360" w:lineRule="auto" w:after="40"/>
        <w:ind w:firstLine="420"/>
      </w:pPr>
      <w:r>
        <w:t>题干关注的是股权结构层面的复杂与隐蔽，而选项B描述的是信托内部的受托人角色分配（委托人与公司服务提供商共同担任受托人）。虽然TCSP参与可能增加受益人识别的难度，但该选项并未展示多层所有权或掩盖最终受益所有人的股权架构，在匹配“过于复杂的股权结构”定义上不如A直接。</w:t>
      </w:r>
    </w:p>
    <w:p>
      <w:pPr>
        <w:spacing w:before="120" w:after="40"/>
      </w:pPr>
      <w:r>
        <w:rPr>
          <w:b/>
          <w:sz w:val="21"/>
          <w:shd w:fill="D6E4F0" w:val="clear"/>
        </w:rPr>
        <w:t>C项错误</w:t>
      </w:r>
    </w:p>
    <w:p>
      <w:pPr>
        <w:spacing w:line="360" w:lineRule="auto" w:after="40"/>
        <w:ind w:firstLine="420"/>
      </w:pPr>
      <w:r>
        <w:t>选项C中两个家族共涉及十几位所有者，数量虽多但所有人均为已知，不涉及离岸持股、名义董事或层层嵌套导致的受益所有人不明。教材对复杂所有权结构的要求在于隐蔽性而非人数，因此题干条件更支持A而非C。</w:t>
      </w:r>
    </w:p>
    <w:p>
      <w:pPr>
        <w:spacing w:before="120" w:after="40"/>
      </w:pPr>
      <w:r>
        <w:rPr>
          <w:b/>
          <w:sz w:val="21"/>
          <w:shd w:fill="D6E4F0" w:val="clear"/>
        </w:rPr>
        <w:t>D项错误</w:t>
      </w:r>
    </w:p>
    <w:p>
      <w:pPr>
        <w:spacing w:line="360" w:lineRule="auto" w:after="40"/>
        <w:ind w:firstLine="420"/>
      </w:pPr>
      <w:r>
        <w:t>跨国代理银行与上市银行控股公司之间存在三层所有权关系，上市银行通常面临较高的透明度要求，三层结构不一定导致受益所有人难以识别。相比之下，A中的信托和基金会系列更容易被用于遮蔽最终受益所有人，更吻合教材对复杂所有权结构的定义。</w:t>
      </w:r>
    </w:p>
    <w:p>
      <w:pPr>
        <w:spacing w:before="120" w:after="40"/>
      </w:pPr>
      <w:r>
        <w:rPr>
          <w:b/>
          <w:sz w:val="21"/>
          <w:shd w:fill="D6E4F0" w:val="clear"/>
        </w:rPr>
        <w:t>易错提醒</w:t>
      </w:r>
    </w:p>
    <w:p>
      <w:pPr>
        <w:spacing w:line="360" w:lineRule="auto" w:after="40"/>
        <w:ind w:firstLine="420"/>
      </w:pPr>
      <w:r>
        <w:t>复杂所有权结构强调的是通过多层公司、信托等方式掩盖最终受益所有人</w:t>
      </w:r>
      <w:r>
        <w:rPr>
          <w:sz w:val="15"/>
          <w:vertAlign w:val="superscript"/>
        </w:rPr>
        <w:t>P73、P312</w:t>
      </w:r>
      <w:r>
        <w:t>，而非单纯的人数多寡或某种法律角色的参与。B中的公司服务提供商确实可能被利用来掩盖所有权，但选项本身并未描绘出多层所有权关系，仅是受托人构成，匹配度不同。</w:t>
      </w:r>
    </w:p>
    <w:p>
      <w:pPr>
        <w:spacing w:line="360" w:lineRule="auto" w:after="120"/>
      </w:pPr>
      <w:r/>
    </w:p>
    <w:p>
      <w:pPr>
        <w:spacing w:line="360" w:lineRule="auto" w:after="40"/>
      </w:pPr>
      <w:r>
        <w:t>4. Which of the following controls is typically implemented at customer onboarding to mitigate the risk of onboarding high-risk customers? ( )</w:t>
      </w:r>
    </w:p>
    <w:p>
      <w:pPr>
        <w:spacing w:line="360" w:lineRule="auto" w:after="20"/>
        <w:ind w:firstLine="283"/>
      </w:pPr>
      <w:r>
        <w:t>A. Enhanced due diligence (EDD)</w:t>
      </w:r>
    </w:p>
    <w:p>
      <w:pPr>
        <w:spacing w:line="360" w:lineRule="auto" w:after="20"/>
        <w:ind w:firstLine="283"/>
      </w:pPr>
      <w:r>
        <w:t>B. Transaction monitoring</w:t>
      </w:r>
    </w:p>
    <w:p>
      <w:pPr>
        <w:spacing w:line="360" w:lineRule="auto" w:after="20"/>
        <w:ind w:firstLine="283"/>
      </w:pPr>
      <w:r>
        <w:t>C. Customer risk assessment</w:t>
      </w:r>
    </w:p>
    <w:p>
      <w:pPr>
        <w:spacing w:line="360" w:lineRule="auto" w:after="20"/>
        <w:ind w:firstLine="283"/>
      </w:pPr>
      <w:r>
        <w:t>D. Sanctions screening</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识别开户阶段针对高风险客户的 EDD 控制</w:t>
      </w:r>
    </w:p>
    <w:p>
      <w:pPr>
        <w:spacing w:before="120" w:after="40"/>
      </w:pPr>
      <w:r>
        <w:rPr>
          <w:b/>
          <w:sz w:val="21"/>
          <w:shd w:fill="D6E4F0" w:val="clear"/>
        </w:rPr>
        <w:t>核心解析</w:t>
      </w:r>
    </w:p>
    <w:p>
      <w:pPr>
        <w:spacing w:line="360" w:lineRule="auto" w:after="40"/>
        <w:ind w:firstLine="420"/>
      </w:pPr>
      <w:r>
        <w:t>高风险客户通常通过增强型尽职调查（EDD）接受更深入的审查</w:t>
      </w:r>
      <w:r>
        <w:rPr>
          <w:sz w:val="15"/>
          <w:vertAlign w:val="superscript"/>
        </w:rPr>
        <w:t>P306</w:t>
      </w:r>
      <w:r>
        <w:t>；监管框架要求对高风险客户采用基于风险的准入方法，使其在获得全面金融服务前接受额外审查</w:t>
      </w:r>
      <w:r>
        <w:rPr>
          <w:sz w:val="15"/>
          <w:vertAlign w:val="superscript"/>
        </w:rPr>
        <w:t>P312</w:t>
      </w:r>
      <w:r>
        <w:t>。题干询问“客户开户时实施以降低高风险客户开户风险的控制”，EDD 正是开户阶段直接针对高风险客户的强化措施。</w:t>
      </w:r>
    </w:p>
    <w:p>
      <w:pPr>
        <w:spacing w:before="120" w:after="40"/>
      </w:pPr>
      <w:r>
        <w:rPr>
          <w:b/>
          <w:sz w:val="21"/>
          <w:shd w:fill="D6E4F0" w:val="clear"/>
        </w:rPr>
        <w:t>B项错误</w:t>
      </w:r>
    </w:p>
    <w:p>
      <w:pPr>
        <w:spacing w:line="360" w:lineRule="auto" w:after="40"/>
        <w:ind w:firstLine="420"/>
      </w:pPr>
      <w:r>
        <w:t>交易监控在开户后持续观察客户交易以识别异常活动</w:t>
      </w:r>
      <w:r>
        <w:rPr>
          <w:sz w:val="15"/>
          <w:vertAlign w:val="superscript"/>
        </w:rPr>
        <w:t>P329</w:t>
      </w:r>
      <w:r>
        <w:t>，与题干“在客户开户时实施”的时间节点不匹配，题干更直接指向 A 而非 B。</w:t>
      </w:r>
    </w:p>
    <w:p>
      <w:pPr>
        <w:spacing w:before="120" w:after="40"/>
      </w:pPr>
      <w:r>
        <w:rPr>
          <w:b/>
          <w:sz w:val="21"/>
          <w:shd w:fill="D6E4F0" w:val="clear"/>
        </w:rPr>
        <w:t>C项错误</w:t>
      </w:r>
    </w:p>
    <w:p>
      <w:pPr>
        <w:spacing w:line="360" w:lineRule="auto" w:after="40"/>
        <w:ind w:firstLine="420"/>
      </w:pPr>
      <w:r>
        <w:t>客户风险评估（CRA）用于识别风险因素、分配风险评级并决定适用哪一级别的客户尽职调查</w:t>
      </w:r>
      <w:r>
        <w:rPr>
          <w:sz w:val="15"/>
          <w:vertAlign w:val="superscript"/>
        </w:rPr>
        <w:t>P285</w:t>
      </w:r>
      <w:r>
        <w:t>。它是确定客户是否为高风险的前置步骤，而题干已假定客户为高风险，需要的是直接应对高风险的控制措施，EDD 比 CRA 更符合“实施以降低风险”的要求。</w:t>
      </w:r>
    </w:p>
    <w:p>
      <w:pPr>
        <w:spacing w:before="120" w:after="40"/>
      </w:pPr>
      <w:r>
        <w:rPr>
          <w:b/>
          <w:sz w:val="21"/>
          <w:shd w:fill="D6E4F0" w:val="clear"/>
        </w:rPr>
        <w:t>D项错误</w:t>
      </w:r>
    </w:p>
    <w:p>
      <w:pPr>
        <w:spacing w:line="360" w:lineRule="auto" w:after="40"/>
        <w:ind w:firstLine="420"/>
      </w:pPr>
      <w:r>
        <w:t>制裁筛查是将客户信息与制裁名单进行交叉核对以检测高风险实体</w:t>
      </w:r>
      <w:r>
        <w:rPr>
          <w:sz w:val="15"/>
          <w:vertAlign w:val="superscript"/>
        </w:rPr>
        <w:t>P305</w:t>
      </w:r>
      <w:r>
        <w:t>，属于开户前识别风险的手段，而非专为已识别的高风险客户设计的风险缓释控制，与 EDD 相比匹配度更低。</w:t>
      </w:r>
    </w:p>
    <w:p>
      <w:pPr>
        <w:spacing w:before="120" w:after="40"/>
      </w:pPr>
      <w:r>
        <w:rPr>
          <w:b/>
          <w:sz w:val="21"/>
          <w:shd w:fill="D6E4F0" w:val="clear"/>
        </w:rPr>
        <w:t>易错提醒</w:t>
      </w:r>
    </w:p>
    <w:p>
      <w:pPr>
        <w:spacing w:line="360" w:lineRule="auto" w:after="40"/>
        <w:ind w:firstLine="420"/>
      </w:pPr>
      <w:r>
        <w:t>客户风险评估（CRA）确定风险等级，增强型尽职调查（EDD）是用于高风险等级的具体客户尽职调查措施</w:t>
      </w:r>
      <w:r>
        <w:rPr>
          <w:sz w:val="15"/>
          <w:vertAlign w:val="superscript"/>
        </w:rPr>
        <w:t>P285、P306</w:t>
      </w:r>
      <w:r>
        <w:t>。题干问的是“控制措施”，而非“评估方法”，EDD 更直接。</w:t>
      </w:r>
    </w:p>
    <w:p>
      <w:pPr>
        <w:spacing w:line="360" w:lineRule="auto" w:after="120"/>
      </w:pPr>
      <w:r/>
    </w:p>
    <w:p>
      <w:pPr>
        <w:spacing w:line="360" w:lineRule="auto" w:after="40"/>
      </w:pPr>
      <w:r>
        <w:t>5. According to Basel Committee guidelines, which level of the organization should determine whether or not to enter business relationships with higher-risk customers? ( )</w:t>
      </w:r>
    </w:p>
    <w:p>
      <w:pPr>
        <w:spacing w:line="360" w:lineRule="auto" w:after="20"/>
        <w:ind w:firstLine="283"/>
      </w:pPr>
      <w:r>
        <w:t>A. Account opening staff</w:t>
      </w:r>
    </w:p>
    <w:p>
      <w:pPr>
        <w:spacing w:line="360" w:lineRule="auto" w:after="20"/>
        <w:ind w:firstLine="283"/>
      </w:pPr>
      <w:r>
        <w:t>B. Middle management</w:t>
      </w:r>
    </w:p>
    <w:p>
      <w:pPr>
        <w:spacing w:line="360" w:lineRule="auto" w:after="20"/>
        <w:ind w:firstLine="283"/>
      </w:pPr>
      <w:r>
        <w:t>C. Senior management</w:t>
      </w:r>
    </w:p>
    <w:p>
      <w:pPr>
        <w:spacing w:line="360" w:lineRule="auto" w:after="20"/>
        <w:ind w:firstLine="283"/>
      </w:pPr>
      <w:r>
        <w:t>D. First-level management</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高风险客户准入的审批层级归属</w:t>
      </w:r>
    </w:p>
    <w:p>
      <w:pPr>
        <w:spacing w:before="120" w:after="40"/>
      </w:pPr>
      <w:r>
        <w:rPr>
          <w:b/>
          <w:sz w:val="21"/>
          <w:shd w:fill="D6E4F0" w:val="clear"/>
        </w:rPr>
        <w:t>核心解析</w:t>
      </w:r>
    </w:p>
    <w:p>
      <w:pPr>
        <w:spacing w:line="360" w:lineRule="auto" w:after="40"/>
        <w:ind w:firstLine="420"/>
      </w:pPr>
      <w:r>
        <w:t>在对高风险场景实施额外准入控制时，巴塞尔委员会指导方针要求获得高级管理层批准（Senior management approval），例如规定账户激活前须经合规委员会或董事会批准</w:t>
      </w:r>
      <w:r>
        <w:rPr>
          <w:sz w:val="15"/>
          <w:vertAlign w:val="superscript"/>
        </w:rPr>
        <w:t>P312</w:t>
      </w:r>
      <w:r>
        <w:t>。题干问的是由组织的哪个层级决定是否与高风险客户建立业务关系，这正落在教材所述的高风险客户准入审批框架内——此类决定权上升至高级管理层，而非停留在操作层或中层，以确保对固有风险有充分的治理层把关。由此可推断，题干条件最直接匹配的审批主体是高级管理层。</w:t>
      </w:r>
    </w:p>
    <w:p>
      <w:pPr>
        <w:spacing w:before="120" w:after="40"/>
      </w:pPr>
      <w:r>
        <w:rPr>
          <w:b/>
          <w:sz w:val="21"/>
          <w:shd w:fill="D6E4F0" w:val="clear"/>
        </w:rPr>
        <w:t>教材原句</w:t>
      </w:r>
    </w:p>
    <w:p>
      <w:pPr>
        <w:spacing w:line="360" w:lineRule="auto" w:after="40"/>
        <w:ind w:firstLine="420"/>
      </w:pPr>
      <w:r>
        <w:t>"Senior management approval, such as mandating compliance committee or board approval before account activation."</w:t>
      </w:r>
    </w:p>
    <w:p>
      <w:pPr>
        <w:spacing w:before="120" w:after="40"/>
      </w:pPr>
      <w:r>
        <w:rPr>
          <w:b/>
          <w:sz w:val="21"/>
          <w:shd w:fill="D6E4F0" w:val="clear"/>
        </w:rPr>
        <w:t>A项错误</w:t>
      </w:r>
    </w:p>
    <w:p>
      <w:pPr>
        <w:spacing w:line="360" w:lineRule="auto" w:after="40"/>
        <w:ind w:firstLine="420"/>
      </w:pPr>
      <w:r>
        <w:t>账户开户人员处于操作执行层，教材在列举高风险客户控制措施时未赋予其此类准入决策职能</w:t>
      </w:r>
      <w:r>
        <w:rPr>
          <w:sz w:val="15"/>
          <w:vertAlign w:val="superscript"/>
        </w:rPr>
        <w:t>P312</w:t>
      </w:r>
      <w:r>
        <w:t>。题干问的是决定是否建立业务关系的主体，该决定所需的权限层级更高，开户人员的角色更接近执行而非审批。</w:t>
      </w:r>
    </w:p>
    <w:p>
      <w:pPr>
        <w:spacing w:before="120" w:after="40"/>
      </w:pPr>
      <w:r>
        <w:rPr>
          <w:b/>
          <w:sz w:val="21"/>
          <w:shd w:fill="D6E4F0" w:val="clear"/>
        </w:rPr>
        <w:t>B项错误</w:t>
      </w:r>
    </w:p>
    <w:p>
      <w:pPr>
        <w:spacing w:line="360" w:lineRule="auto" w:after="40"/>
        <w:ind w:firstLine="420"/>
      </w:pPr>
      <w:r>
        <w:t>中层管理人员在教材防线框架中主要充当协调角色，中台支持前台、管理第一道防线内的风险与合规框架</w:t>
      </w:r>
      <w:r>
        <w:rPr>
          <w:sz w:val="15"/>
          <w:vertAlign w:val="superscript"/>
        </w:rPr>
        <w:t>P247</w:t>
      </w:r>
      <w:r>
        <w:t>。其职责偏重内部流程衔接而非最终决策。题干涉及的决定是与高风险客户建立业务关系这一战略性准入判断，其匹配的审批层级高于中台协调职能。</w:t>
      </w:r>
    </w:p>
    <w:p>
      <w:pPr>
        <w:spacing w:before="120" w:after="40"/>
      </w:pPr>
      <w:r>
        <w:rPr>
          <w:b/>
          <w:sz w:val="21"/>
          <w:shd w:fill="D6E4F0" w:val="clear"/>
        </w:rPr>
        <w:t>D项错误</w:t>
      </w:r>
    </w:p>
    <w:p>
      <w:pPr>
        <w:spacing w:line="360" w:lineRule="auto" w:after="40"/>
        <w:ind w:firstLine="420"/>
      </w:pPr>
      <w:r>
        <w:t>“一级管理”并非教材在巴塞尔高风险准入控制语境下使用的层级划分术语，给出的材料中也未定义该层级拥有此类决策角色。相比之下，题干条件直接指向 P312 列明的高管审批要求，而非一个在教材中无对应定义的管理层级。</w:t>
      </w:r>
    </w:p>
    <w:p>
      <w:pPr>
        <w:spacing w:before="120" w:after="40"/>
      </w:pPr>
      <w:r>
        <w:rPr>
          <w:b/>
          <w:sz w:val="21"/>
          <w:shd w:fill="D6E4F0" w:val="clear"/>
        </w:rPr>
        <w:t>易错提醒</w:t>
      </w:r>
    </w:p>
    <w:p>
      <w:pPr>
        <w:spacing w:line="360" w:lineRule="auto" w:after="40"/>
        <w:ind w:firstLine="420"/>
      </w:pPr>
      <w:r>
        <w:t>中台在防线模型里承担协调与风险管理框架的职责</w:t>
      </w:r>
      <w:r>
        <w:rPr>
          <w:sz w:val="15"/>
          <w:vertAlign w:val="superscript"/>
        </w:rPr>
        <w:t>P247</w:t>
      </w:r>
      <w:r>
        <w:t>，容易与业务准入审批权混淆。关键区分在于：中台负责连通与控制流程，而高风险客户准入的决定权在教材中被明确划归高级管理层审批</w:t>
      </w:r>
      <w:r>
        <w:rPr>
          <w:sz w:val="15"/>
          <w:vertAlign w:val="superscript"/>
        </w:rPr>
        <w:t>P312</w:t>
      </w:r>
      <w:r>
        <w:t>。</w:t>
      </w:r>
    </w:p>
    <w:p>
      <w:pPr>
        <w:spacing w:line="360" w:lineRule="auto" w:after="120"/>
      </w:pPr>
      <w:r/>
    </w:p>
    <w:p>
      <w:pPr>
        <w:spacing w:line="360" w:lineRule="auto" w:after="40"/>
      </w:pPr>
      <w:r>
        <w:t>6. Which of the following attributes would enhance an AML program's effectiveness? ( )</w:t>
      </w:r>
    </w:p>
    <w:p>
      <w:pPr>
        <w:spacing w:line="360" w:lineRule="auto" w:after="20"/>
        <w:ind w:firstLine="283"/>
      </w:pPr>
      <w:r>
        <w:t>A. Providing basic AML training to all employees</w:t>
      </w:r>
    </w:p>
    <w:p>
      <w:pPr>
        <w:spacing w:line="360" w:lineRule="auto" w:after="20"/>
        <w:ind w:firstLine="283"/>
      </w:pPr>
      <w:r>
        <w:t>B. An AML officer being appointed to the board as a working member of management with increased authority</w:t>
      </w:r>
    </w:p>
    <w:p>
      <w:pPr>
        <w:spacing w:line="360" w:lineRule="auto" w:after="20"/>
        <w:ind w:firstLine="283"/>
      </w:pPr>
      <w:r>
        <w:t>C. Auditors providing prescriptive guidance and support to the program following a less than satisfactory audit</w:t>
      </w:r>
    </w:p>
    <w:p>
      <w:pPr>
        <w:spacing w:line="360" w:lineRule="auto" w:after="20"/>
        <w:ind w:firstLine="283"/>
      </w:pPr>
      <w:r>
        <w:t>D. Providing effective challenge with AML staff and continuous cross-training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区分“基本培训”与“持续交叉培训及有效挑战”对AML计划有效性的不同影响</w:t>
      </w:r>
    </w:p>
    <w:p>
      <w:pPr>
        <w:spacing w:before="120" w:after="40"/>
      </w:pPr>
      <w:r>
        <w:rPr>
          <w:b/>
          <w:sz w:val="21"/>
          <w:shd w:fill="D6E4F0" w:val="clear"/>
        </w:rPr>
        <w:t>核心解析</w:t>
      </w:r>
    </w:p>
    <w:p>
      <w:pPr>
        <w:spacing w:line="360" w:lineRule="auto" w:after="40"/>
        <w:ind w:firstLine="420"/>
      </w:pPr>
      <w:r>
        <w:t>有效AML计划的第三大支柱要求对员工进行“定期、持续的反洗钱培训”</w:t>
      </w:r>
      <w:r>
        <w:rPr>
          <w:sz w:val="15"/>
          <w:vertAlign w:val="superscript"/>
        </w:rPr>
        <w:t>P245</w:t>
      </w:r>
      <w:r>
        <w:t>，而非一次性基础培训。质量控制框架进一步明确，培训与持续改进的核心是“通过提升员工能力和突出薄弱环节”</w:t>
      </w:r>
      <w:r>
        <w:rPr>
          <w:sz w:val="15"/>
          <w:vertAlign w:val="superscript"/>
        </w:rPr>
        <w:t>P314</w:t>
      </w:r>
      <w:r>
        <w:t>，这直接对应D项中的“持续的交叉培训”。同时，D项中“反洗钱工作人员提供有效的挑战”契合教材关于独立审计需向董事会直接报告以确保独立性、并对第一二道防线进行交叉检查的功能定位</w:t>
      </w:r>
      <w:r>
        <w:rPr>
          <w:sz w:val="15"/>
          <w:vertAlign w:val="superscript"/>
        </w:rPr>
        <w:t>P256</w:t>
      </w:r>
      <w:r>
        <w:t>，这种挑战机制能主动发现并纠正缺陷。相比之下，A项仅提及“基本培训”，缺少“持续”要素，匹配度不如D项高。</w:t>
      </w:r>
    </w:p>
    <w:p>
      <w:pPr>
        <w:spacing w:before="120" w:after="40"/>
      </w:pPr>
      <w:r>
        <w:rPr>
          <w:b/>
          <w:sz w:val="21"/>
          <w:shd w:fill="D6E4F0" w:val="clear"/>
        </w:rPr>
        <w:t>教材原句</w:t>
      </w:r>
    </w:p>
    <w:p>
      <w:pPr>
        <w:spacing w:line="360" w:lineRule="auto" w:after="40"/>
        <w:ind w:firstLine="420"/>
      </w:pPr>
      <w:r>
        <w:t>"Training and continuous improvement by enhancing staff competency and highlighting any weaknesses."</w:t>
      </w:r>
    </w:p>
    <w:p>
      <w:pPr>
        <w:spacing w:before="120" w:after="40"/>
      </w:pPr>
      <w:r>
        <w:rPr>
          <w:b/>
          <w:sz w:val="21"/>
          <w:shd w:fill="D6E4F0" w:val="clear"/>
        </w:rPr>
        <w:t>A项错误</w:t>
      </w:r>
    </w:p>
    <w:p>
      <w:pPr>
        <w:spacing w:line="360" w:lineRule="auto" w:after="40"/>
        <w:ind w:firstLine="420"/>
      </w:pPr>
      <w:r>
        <w:t>教材要求的是“定期、持续的培训”</w:t>
      </w:r>
      <w:r>
        <w:rPr>
          <w:sz w:val="15"/>
          <w:vertAlign w:val="superscript"/>
        </w:rPr>
        <w:t>P245</w:t>
      </w:r>
      <w:r>
        <w:t>，而非一次性的“基本培训”。题干问的是“增强有效性”的属性，持续交叉培训比一次性基础培训更直接匹配教材对培训支柱的要求。</w:t>
      </w:r>
    </w:p>
    <w:p>
      <w:pPr>
        <w:spacing w:before="120" w:after="40"/>
      </w:pPr>
      <w:r>
        <w:rPr>
          <w:b/>
          <w:sz w:val="21"/>
          <w:shd w:fill="D6E4F0" w:val="clear"/>
        </w:rPr>
        <w:t>B项错误</w:t>
      </w:r>
    </w:p>
    <w:p>
      <w:pPr>
        <w:spacing w:line="360" w:lineRule="auto" w:after="40"/>
        <w:ind w:firstLine="420"/>
      </w:pPr>
      <w:r>
        <w:t>教材P245仅要求指定合规官负责监督反洗钱流程，未规定其必须成为董事会成员。且P256强调独立审计需直接向董事会报告以确保独立性，若合规官同时进入董事会，其独立性和挑战能力可能受到影响，匹配度不如D项直接。</w:t>
      </w:r>
    </w:p>
    <w:p>
      <w:pPr>
        <w:spacing w:before="120" w:after="40"/>
      </w:pPr>
      <w:r>
        <w:rPr>
          <w:b/>
          <w:sz w:val="21"/>
          <w:shd w:fill="D6E4F0" w:val="clear"/>
        </w:rPr>
        <w:t>C项错误</w:t>
      </w:r>
    </w:p>
    <w:p>
      <w:pPr>
        <w:spacing w:line="360" w:lineRule="auto" w:after="40"/>
        <w:ind w:firstLine="420"/>
      </w:pPr>
      <w:r>
        <w:t>教材P256-257明确独立审计职能的职责是“评估控制的有效性和效率”并“识别和沟通缺陷”，而非提供“具体的指导和支持”。审计提供指导会混淆其独立监督角色与咨询职能，不如D项中由反洗钱工作人员提供有效挑战更符合教材对独立性的定义。</w:t>
      </w:r>
    </w:p>
    <w:p>
      <w:pPr>
        <w:spacing w:before="120" w:after="40"/>
      </w:pPr>
      <w:r>
        <w:rPr>
          <w:b/>
          <w:sz w:val="21"/>
          <w:shd w:fill="D6E4F0" w:val="clear"/>
        </w:rPr>
        <w:t>易错提醒</w:t>
      </w:r>
    </w:p>
    <w:p>
      <w:pPr>
        <w:spacing w:line="360" w:lineRule="auto" w:after="40"/>
        <w:ind w:firstLine="420"/>
      </w:pPr>
      <w:r>
        <w:t>培训的“持续性”与“基础层次”的区分：教材强调定期、持续的培训（regular, ongoing AML training for employees，P245），而非一次性或基础培训。增强有效性的关键在于培训的持续性与交叉渗透，而非仅覆盖全员。</w:t>
      </w:r>
    </w:p>
    <w:p>
      <w:pPr>
        <w:spacing w:line="360" w:lineRule="auto" w:after="120"/>
      </w:pPr>
      <w:r/>
    </w:p>
    <w:p>
      <w:pPr>
        <w:spacing w:line="360" w:lineRule="auto" w:after="40"/>
      </w:pPr>
      <w:r>
        <w:t>7. A large financial institution (FI) is considering expanding business to an area of the world with weak AML laws. The risk-based assessment indicates that the location will increase the FI's risk exposure beyond its stated acceptable risk appetite. Which type of risk should be the FI's primary concern? ( )</w:t>
      </w:r>
    </w:p>
    <w:p>
      <w:pPr>
        <w:spacing w:line="360" w:lineRule="auto" w:after="20"/>
        <w:ind w:firstLine="283"/>
      </w:pPr>
      <w:r>
        <w:t>A. Cash-intensive business risks</w:t>
      </w:r>
    </w:p>
    <w:p>
      <w:pPr>
        <w:spacing w:line="360" w:lineRule="auto" w:after="20"/>
        <w:ind w:firstLine="283"/>
      </w:pPr>
      <w:r>
        <w:t>B. Unknown third-party risks</w:t>
      </w:r>
    </w:p>
    <w:p>
      <w:pPr>
        <w:spacing w:line="360" w:lineRule="auto" w:after="20"/>
        <w:ind w:firstLine="283"/>
      </w:pPr>
      <w:r>
        <w:t>C. Geographic risks</w:t>
      </w:r>
    </w:p>
    <w:p>
      <w:pPr>
        <w:spacing w:line="360" w:lineRule="auto" w:after="20"/>
        <w:ind w:firstLine="283"/>
      </w:pPr>
      <w:r>
        <w:t>D. Anonymous transaction risks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将“反洗钱法律薄弱的地区”识别为教材定义的“地理风险”</w:t>
      </w:r>
    </w:p>
    <w:p>
      <w:pPr>
        <w:spacing w:before="120" w:after="40"/>
      </w:pPr>
      <w:r>
        <w:rPr>
          <w:b/>
          <w:sz w:val="21"/>
          <w:shd w:fill="D6E4F0" w:val="clear"/>
        </w:rPr>
        <w:t>核心解析</w:t>
      </w:r>
    </w:p>
    <w:p>
      <w:pPr>
        <w:spacing w:line="360" w:lineRule="auto" w:after="40"/>
        <w:ind w:firstLine="420"/>
      </w:pPr>
      <w:r>
        <w:t>地理风险指在与受制裁司法管辖区或监管机构划定的高风险国家运营或进行交易</w:t>
      </w:r>
      <w:r>
        <w:rPr>
          <w:sz w:val="15"/>
          <w:vertAlign w:val="superscript"/>
        </w:rPr>
        <w:t>P312</w:t>
      </w:r>
      <w:r>
        <w:t>。题干中，金融机构考虑拓展的地区被明确描述为“反洗钱法律薄弱的地区”，且风险评估显示这将使机构的风险暴露超出其声明的可接受风险偏好。这两点——地区法规质量差和由此导致的整体风险暴露超标——恰好吻合P312对地理风险的界定：监管框架薄弱或受制裁的国家即构成地理风险来源；P73也指出，来自反洗钱法规薄弱或腐败严重司法管辖区的客户呈现更高风险。题干没有锁定在特定业务类型、第三方关系或交易方式上，而是在讨论“进入一个地区”本身带来的风险，因此地理风险最直接匹配题干条件。</w:t>
      </w:r>
    </w:p>
    <w:p>
      <w:pPr>
        <w:spacing w:before="120" w:after="40"/>
      </w:pPr>
      <w:r>
        <w:rPr>
          <w:b/>
          <w:sz w:val="21"/>
          <w:shd w:fill="D6E4F0" w:val="clear"/>
        </w:rPr>
        <w:t>教材原句</w:t>
      </w:r>
    </w:p>
    <w:p>
      <w:pPr>
        <w:spacing w:line="360" w:lineRule="auto" w:after="40"/>
        <w:ind w:firstLine="420"/>
      </w:pPr>
      <w:r>
        <w:t>"Geographic risk: Operating in or transacting with sanctioned jurisdictions or high-risk countries identified by OFAC, EU, or other regulators"</w:t>
      </w:r>
    </w:p>
    <w:p>
      <w:pPr>
        <w:spacing w:before="120" w:after="40"/>
      </w:pPr>
      <w:r>
        <w:rPr>
          <w:b/>
          <w:sz w:val="21"/>
          <w:shd w:fill="D6E4F0" w:val="clear"/>
        </w:rPr>
        <w:t>A项错误</w:t>
      </w:r>
    </w:p>
    <w:p>
      <w:pPr>
        <w:spacing w:line="360" w:lineRule="auto" w:after="40"/>
        <w:ind w:firstLine="420"/>
      </w:pPr>
      <w:r>
        <w:t>现金密集型业务风险在教材中与赌场、汽车经销商等具体行业场景关联</w:t>
      </w:r>
      <w:r>
        <w:rPr>
          <w:sz w:val="15"/>
          <w:vertAlign w:val="superscript"/>
        </w:rPr>
        <w:t>P65</w:t>
      </w:r>
      <w:r>
        <w:t>，也见于慈善机构等主体的特征描述</w:t>
      </w:r>
      <w:r>
        <w:rPr>
          <w:sz w:val="15"/>
          <w:vertAlign w:val="superscript"/>
        </w:rPr>
        <w:t>P134</w:t>
      </w:r>
      <w:r>
        <w:t>。题干只讨论了“拓展至一个地区”的区域属性，没有提及该地区涉及的具体业务是否现金密集型，因此现金密集型风险不如地理风险那样直接覆盖题干给出的信息。</w:t>
      </w:r>
    </w:p>
    <w:p>
      <w:pPr>
        <w:spacing w:before="120" w:after="40"/>
      </w:pPr>
      <w:r>
        <w:rPr>
          <w:b/>
          <w:sz w:val="21"/>
          <w:shd w:fill="D6E4F0" w:val="clear"/>
        </w:rPr>
        <w:t>B项错误</w:t>
      </w:r>
    </w:p>
    <w:p>
      <w:pPr>
        <w:spacing w:line="360" w:lineRule="auto" w:after="40"/>
        <w:ind w:firstLine="420"/>
      </w:pPr>
      <w:r>
        <w:t>教材在讨论企业贷款</w:t>
      </w:r>
      <w:r>
        <w:rPr>
          <w:sz w:val="15"/>
          <w:vertAlign w:val="superscript"/>
        </w:rPr>
        <w:t>P77</w:t>
      </w:r>
      <w:r>
        <w:t>和贸易融资</w:t>
      </w:r>
      <w:r>
        <w:rPr>
          <w:sz w:val="15"/>
          <w:vertAlign w:val="superscript"/>
        </w:rPr>
        <w:t>P66</w:t>
      </w:r>
      <w:r>
        <w:t>时提到，第三方（担保人、中介等）介入会增加验证复杂性，难以追踪资金来源。但题干描述的是一个区域选择决策，并未出现任何涉及具体第三方支付人、中介或指令方的线索，所以未知第三方风险在本题条件下缺少对应的题干要素。</w:t>
      </w:r>
    </w:p>
    <w:p>
      <w:pPr>
        <w:spacing w:before="120" w:after="40"/>
      </w:pPr>
      <w:r>
        <w:rPr>
          <w:b/>
          <w:sz w:val="21"/>
          <w:shd w:fill="D6E4F0" w:val="clear"/>
        </w:rPr>
        <w:t>D项错误</w:t>
      </w:r>
    </w:p>
    <w:p>
      <w:pPr>
        <w:spacing w:line="360" w:lineRule="auto" w:after="40"/>
        <w:ind w:firstLine="420"/>
      </w:pPr>
      <w:r>
        <w:t>教材中匿名交易风险主要与加密资产的匿名转账属性</w:t>
      </w:r>
      <w:r>
        <w:rPr>
          <w:sz w:val="15"/>
          <w:vertAlign w:val="superscript"/>
        </w:rPr>
        <w:t>P111</w:t>
      </w:r>
      <w:r>
        <w:t>以及赌场现金交易的匿名性</w:t>
      </w:r>
      <w:r>
        <w:rPr>
          <w:sz w:val="15"/>
          <w:vertAlign w:val="superscript"/>
        </w:rPr>
        <w:t>P120</w:t>
      </w:r>
      <w:r>
        <w:t>相关。题干只提到“反洗钱法律薄弱的地区”，没有进一步指向加密资产、现金匿名交易或类似匿名机制，相比之下地理风险对“地区法律薄弱”这一核心信息的匹配更直接。</w:t>
      </w:r>
    </w:p>
    <w:p>
      <w:pPr>
        <w:spacing w:before="120" w:after="40"/>
      </w:pPr>
      <w:r>
        <w:rPr>
          <w:b/>
          <w:sz w:val="21"/>
          <w:shd w:fill="D6E4F0" w:val="clear"/>
        </w:rPr>
        <w:t>易错提醒</w:t>
      </w:r>
    </w:p>
    <w:p>
      <w:pPr>
        <w:spacing w:line="360" w:lineRule="auto" w:after="40"/>
        <w:ind w:firstLine="420"/>
      </w:pPr>
      <w:r>
        <w:t>地理风险关注的是国家或地区的监管与制裁环境</w:t>
      </w:r>
      <w:r>
        <w:rPr>
          <w:sz w:val="15"/>
          <w:vertAlign w:val="superscript"/>
        </w:rPr>
        <w:t>P312</w:t>
      </w:r>
      <w:r>
        <w:t>，而行业风险关注的是特定业务类型如现金密集型行业或加密货币交易所等</w:t>
      </w:r>
      <w:r>
        <w:rPr>
          <w:sz w:val="15"/>
          <w:vertAlign w:val="superscript"/>
        </w:rPr>
        <w:t>P312</w:t>
      </w:r>
      <w:r>
        <w:t>。题干给出的是“反洗钱法律薄弱的地区”而非某类业务，区分两者的关键要看风险来源是“地点本身”还是“行业或业务特征”。</w:t>
      </w:r>
    </w:p>
    <w:p>
      <w:pPr>
        <w:spacing w:line="360" w:lineRule="auto" w:after="120"/>
      </w:pPr>
      <w:r/>
    </w:p>
    <w:p>
      <w:pPr>
        <w:spacing w:line="360" w:lineRule="auto" w:after="40"/>
      </w:pPr>
      <w:r>
        <w:t>8. Which of the following scenarios warrant enhanced due diligence (EDD)? (Select Three.) ( )</w:t>
      </w:r>
    </w:p>
    <w:p>
      <w:pPr>
        <w:spacing w:line="360" w:lineRule="auto" w:after="20"/>
        <w:ind w:firstLine="283"/>
      </w:pPr>
      <w:r>
        <w:t>A. An existing local league footballer trying to open a bank account with a bank in their local jurisdiction.</w:t>
      </w:r>
    </w:p>
    <w:p>
      <w:pPr>
        <w:spacing w:line="360" w:lineRule="auto" w:after="20"/>
        <w:ind w:firstLine="283"/>
      </w:pPr>
      <w:r>
        <w:t>B. The current prime minister of a country trying to open a bank account in another country.</w:t>
      </w:r>
    </w:p>
    <w:p>
      <w:pPr>
        <w:spacing w:line="360" w:lineRule="auto" w:after="20"/>
        <w:ind w:firstLine="283"/>
      </w:pPr>
      <w:r>
        <w:t>C. The former personal secretary to the minister of transport in a low-risk country 25 years ago opening a bank account at a bank in a neighboring low-risk country.</w:t>
      </w:r>
    </w:p>
    <w:p>
      <w:pPr>
        <w:spacing w:line="360" w:lineRule="auto" w:after="20"/>
        <w:ind w:firstLine="283"/>
      </w:pPr>
      <w:r>
        <w:t>D. A bank located in a higher-risk country trying to establish a correspondent-respondent banking relationship with a bank in a lower-risk country.</w:t>
      </w:r>
    </w:p>
    <w:p>
      <w:pPr>
        <w:spacing w:line="360" w:lineRule="auto" w:after="20"/>
        <w:ind w:firstLine="283"/>
      </w:pPr>
      <w:r>
        <w:t>E. An individual with a current bank account in their home country who becomes an ambassador to another country.</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根据客户PEP身份及高风险司法管辖区判断EDD触发情形</w:t>
      </w:r>
    </w:p>
    <w:p>
      <w:pPr>
        <w:spacing w:before="120" w:after="40"/>
      </w:pPr>
      <w:r>
        <w:rPr>
          <w:b/>
          <w:sz w:val="21"/>
          <w:shd w:fill="D6E4F0" w:val="clear"/>
        </w:rPr>
        <w:t>核心解析</w:t>
      </w:r>
    </w:p>
    <w:p>
      <w:pPr>
        <w:spacing w:line="360" w:lineRule="auto" w:after="40"/>
        <w:ind w:firstLine="420"/>
      </w:pPr>
      <w:r>
        <w:t>EDD，即强化尽职调查，适用于被划分为高风险的客户。教材明确指出，高风险客户如政治敏感人物通常需要强化尽职调查（EDD is typically required for high-risk customers, such as PEPs，P310）。基于此规则：选项B中的“现任总理”属于显要公共职能人士，符合PEP定义；选项E中的“大使”同样是担任重要公共职能的外交人员，在教材关于外国使团的讨论中，明确将此类使馆相关人员归类为PEP</w:t>
      </w:r>
      <w:r>
        <w:rPr>
          <w:sz w:val="15"/>
          <w:vertAlign w:val="superscript"/>
        </w:rPr>
        <w:t>P137</w:t>
      </w:r>
      <w:r>
        <w:t>；选项D中，尽管交易对手是低风险国家的银行，但提出建立代理行关系的银行本身“位于高风险国家”，且外国代理行关系是教材明确定义需要执行强化尽职调查的特殊业务领域（Section 312 mandates EDD for correspondent accounts held by foreign financial institutions，P181），该高风险司法管辖区的属性直接触发了EDD要求。此三者均从客户身份或业务关系性质上满足了触发EDD的高风险前提。</w:t>
      </w:r>
    </w:p>
    <w:p>
      <w:pPr>
        <w:spacing w:before="120" w:after="40"/>
      </w:pPr>
      <w:r>
        <w:rPr>
          <w:b/>
          <w:sz w:val="21"/>
          <w:shd w:fill="D6E4F0" w:val="clear"/>
        </w:rPr>
        <w:t>教材原句</w:t>
      </w:r>
    </w:p>
    <w:p>
      <w:pPr>
        <w:spacing w:line="360" w:lineRule="auto" w:after="40"/>
        <w:ind w:firstLine="420"/>
      </w:pPr>
      <w:r>
        <w:t>"EDD is typically required for high-risk customers, such as PEPs or individuals operating in high-risk jurisdictions."</w:t>
      </w:r>
    </w:p>
    <w:p>
      <w:pPr>
        <w:spacing w:before="120" w:after="40"/>
      </w:pPr>
      <w:r>
        <w:rPr>
          <w:b/>
          <w:sz w:val="21"/>
          <w:shd w:fill="D6E4F0" w:val="clear"/>
        </w:rPr>
        <w:t>A项错误</w:t>
      </w:r>
    </w:p>
    <w:p>
      <w:pPr>
        <w:spacing w:line="360" w:lineRule="auto" w:after="40"/>
        <w:ind w:firstLine="420"/>
      </w:pPr>
      <w:r>
        <w:t>当地联赛足球运动员不担任显要公共职能，也不天然属于高风险商业领域，在教材框架下，其开户仅需执行适用于所有客户的CDD流程（P309-310），这与需要额外强化审查的PEP身份或高风险司法管辖区有本质区别。</w:t>
      </w:r>
    </w:p>
    <w:p>
      <w:pPr>
        <w:spacing w:before="120" w:after="40"/>
      </w:pPr>
      <w:r>
        <w:rPr>
          <w:b/>
          <w:sz w:val="21"/>
          <w:shd w:fill="D6E4F0" w:val="clear"/>
        </w:rPr>
        <w:t>C项错误</w:t>
      </w:r>
    </w:p>
    <w:p>
      <w:pPr>
        <w:spacing w:line="360" w:lineRule="auto" w:after="40"/>
        <w:ind w:firstLine="420"/>
      </w:pPr>
      <w:r>
        <w:t>该客户并非直接担任部长等公共要职，仅是“前私人秘书”，且时间已过去“25年”、所在地均为“低风险国家”，其职务级别、时效性和外部环境均不支持将其界定为高风险客户，更无需论及触发EDD。</w:t>
      </w:r>
    </w:p>
    <w:p>
      <w:pPr>
        <w:spacing w:before="120" w:after="40"/>
      </w:pPr>
      <w:r>
        <w:rPr>
          <w:b/>
          <w:sz w:val="21"/>
          <w:shd w:fill="D6E4F0" w:val="clear"/>
        </w:rPr>
        <w:t>易错提醒</w:t>
      </w:r>
    </w:p>
    <w:p>
      <w:pPr>
        <w:spacing w:line="360" w:lineRule="auto" w:after="40"/>
        <w:ind w:firstLine="420"/>
      </w:pPr>
      <w:r>
        <w:t>混淆“担任过公职”与“PEP”：并非所有公职人员都被视为需要EDD的PEP。EDD针对的是担任“显要公共职能（prominent political function）”的个人</w:t>
      </w:r>
      <w:r>
        <w:rPr>
          <w:sz w:val="15"/>
          <w:vertAlign w:val="superscript"/>
        </w:rPr>
        <w:t>P137</w:t>
      </w:r>
      <w:r>
        <w:t>，如国家元首、政府首脑、部长、大使等。低级别的或久远的辅助性公职（如多年前的私人秘书），尤其是在低风险环境下，风险等级不足，通常不触发EDD。</w:t>
      </w:r>
    </w:p>
    <w:p>
      <w:pPr>
        <w:spacing w:line="360" w:lineRule="auto" w:after="120"/>
      </w:pPr>
      <w:r/>
    </w:p>
    <w:p>
      <w:pPr>
        <w:spacing w:line="360" w:lineRule="auto" w:after="40"/>
      </w:pPr>
      <w:r>
        <w:t>9. According to the Basel Committee principles, which actions would make a customer identification program at a bank more robust? (Select Two.) ( )</w:t>
      </w:r>
    </w:p>
    <w:p>
      <w:pPr>
        <w:spacing w:line="360" w:lineRule="auto" w:after="20"/>
        <w:ind w:firstLine="283"/>
      </w:pPr>
      <w:r>
        <w:t>A. Understanding why a customer has selected a particular financial institution for banking.</w:t>
      </w:r>
    </w:p>
    <w:p>
      <w:pPr>
        <w:spacing w:line="360" w:lineRule="auto" w:after="20"/>
        <w:ind w:firstLine="283"/>
      </w:pPr>
      <w:r>
        <w:t>B. Verifying the identity of a customer with reputable online source documentation.</w:t>
      </w:r>
    </w:p>
    <w:p>
      <w:pPr>
        <w:spacing w:line="360" w:lineRule="auto" w:after="20"/>
        <w:ind w:firstLine="283"/>
      </w:pPr>
      <w:r>
        <w:t>C. Limiting the online activities of a new customer during the first two months.</w:t>
      </w:r>
    </w:p>
    <w:p>
      <w:pPr>
        <w:spacing w:line="360" w:lineRule="auto" w:after="20"/>
        <w:ind w:firstLine="283"/>
      </w:pPr>
      <w:r>
        <w:t>D. Understanding the nature and purpose behind a new business opening an account at the bank.</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客户身份识别计划的核心要素：身份核实与了解业务关系目的</w:t>
      </w:r>
    </w:p>
    <w:p>
      <w:pPr>
        <w:spacing w:before="120" w:after="40"/>
      </w:pPr>
      <w:r>
        <w:rPr>
          <w:b/>
          <w:sz w:val="21"/>
          <w:shd w:fill="D6E4F0" w:val="clear"/>
        </w:rPr>
        <w:t>核心解析</w:t>
      </w:r>
    </w:p>
    <w:p>
      <w:pPr>
        <w:spacing w:line="360" w:lineRule="auto" w:after="40"/>
        <w:ind w:firstLine="420"/>
      </w:pPr>
      <w:r>
        <w:t>巴塞尔委员会界定的KYC关键要素包括“客户身份识别”</w:t>
      </w:r>
      <w:r>
        <w:rPr>
          <w:sz w:val="15"/>
          <w:vertAlign w:val="superscript"/>
        </w:rPr>
        <w:t>P166</w:t>
      </w:r>
      <w:r>
        <w:t>。完整的KYC/CDD流程不仅要求通过可靠文件核实身份，还要求机构“了解客户关系的预期目的和性质”</w:t>
      </w:r>
      <w:r>
        <w:rPr>
          <w:sz w:val="15"/>
          <w:vertAlign w:val="superscript"/>
        </w:rPr>
        <w:t>P305</w:t>
      </w:r>
      <w:r>
        <w:t>。题干问的是使银行客户身份识别计划“更加完善”的行动，因此，通过可靠的在线来源文件核实客户身份（选项B）直接强化了身份识别环节；了解新企业开户的性质和目的（选项D）则对应了解关系目的这一要求。两项均直接充实CIP的核心内容，故为正确行动。</w:t>
      </w:r>
    </w:p>
    <w:p>
      <w:pPr>
        <w:spacing w:before="120" w:after="40"/>
      </w:pPr>
      <w:r>
        <w:rPr>
          <w:b/>
          <w:sz w:val="21"/>
          <w:shd w:fill="D6E4F0" w:val="clear"/>
        </w:rPr>
        <w:t>教材原句</w:t>
      </w:r>
    </w:p>
    <w:p>
      <w:pPr>
        <w:spacing w:line="360" w:lineRule="auto" w:after="40"/>
        <w:ind w:firstLine="420"/>
      </w:pPr>
      <w:r>
        <w:t>"Organizations must understand and obtain information, as appropriate, on the purpose and intended nature of the customer’s relationship with the organization."</w:t>
      </w:r>
    </w:p>
    <w:p>
      <w:pPr>
        <w:spacing w:before="120" w:after="40"/>
      </w:pPr>
      <w:r>
        <w:rPr>
          <w:b/>
          <w:sz w:val="21"/>
          <w:shd w:fill="D6E4F0" w:val="clear"/>
        </w:rPr>
        <w:t>A项错误</w:t>
      </w:r>
    </w:p>
    <w:p>
      <w:pPr>
        <w:spacing w:line="360" w:lineRule="auto" w:after="40"/>
        <w:ind w:firstLine="420"/>
      </w:pPr>
      <w:r>
        <w:t>教材要求的是了解客户与银行关系的目的和性质（如开户用途、预期交易类型），而非追问客户为何选择某家特定机构。客户选择某家机构的动机不属于巴塞尔原则下客户身份识别计划的核心要素，匹配度远不如B、D直接。</w:t>
      </w:r>
    </w:p>
    <w:p>
      <w:pPr>
        <w:spacing w:before="120" w:after="40"/>
      </w:pPr>
      <w:r>
        <w:rPr>
          <w:b/>
          <w:sz w:val="21"/>
          <w:shd w:fill="D6E4F0" w:val="clear"/>
        </w:rPr>
        <w:t>C项错误</w:t>
      </w:r>
    </w:p>
    <w:p>
      <w:pPr>
        <w:spacing w:line="360" w:lineRule="auto" w:after="40"/>
        <w:ind w:firstLine="420"/>
      </w:pPr>
      <w:r>
        <w:t>限制新客户在线活动是针对已识别高风险客户的风险缓释措施</w:t>
      </w:r>
      <w:r>
        <w:rPr>
          <w:sz w:val="15"/>
          <w:vertAlign w:val="superscript"/>
        </w:rPr>
        <w:t>P312</w:t>
      </w:r>
      <w:r>
        <w:t>，其前提是身份识别已完成。它本身并不使识别计划更完善，而是识别后的管控，与题干要求的“完善身份识别计划”在逻辑上不如B、D直接对应。</w:t>
      </w:r>
    </w:p>
    <w:p>
      <w:pPr>
        <w:spacing w:before="120" w:after="40"/>
      </w:pPr>
      <w:r>
        <w:rPr>
          <w:b/>
          <w:sz w:val="21"/>
          <w:shd w:fill="D6E4F0" w:val="clear"/>
        </w:rPr>
        <w:t>易错提醒</w:t>
      </w:r>
    </w:p>
    <w:p>
      <w:pPr>
        <w:spacing w:line="360" w:lineRule="auto" w:after="40"/>
        <w:ind w:firstLine="420"/>
      </w:pPr>
      <w:r>
        <w:t>客户身份识别计划（CIP）的核心是收集、验证身份与了解关系性质，而不是限制使用。限制措施属于EDD或风险控制环节，是CIP之后的动作，不能反过来让CIP本身更完善。</w:t>
      </w:r>
    </w:p>
    <w:p>
      <w:pPr>
        <w:spacing w:line="360" w:lineRule="auto" w:after="120"/>
      </w:pPr>
      <w:r/>
    </w:p>
    <w:p>
      <w:pPr>
        <w:spacing w:line="360" w:lineRule="auto" w:after="40"/>
      </w:pPr>
      <w:r>
        <w:t>10. An international bank is investigating a payment requested by one of its correspondent relationships that generated an alert in the automated transaction monitoring system. The payment originated from a corporation located in Hong Kong and the final beneficiary is an individual located in New York. Which steps should the bank take first to address the alert? (Select three.) ( )</w:t>
      </w:r>
    </w:p>
    <w:p>
      <w:pPr>
        <w:spacing w:line="360" w:lineRule="auto" w:after="20"/>
        <w:ind w:firstLine="283"/>
      </w:pPr>
      <w:r>
        <w:t>A. Send a 314(b) request to the corporation's bank in Hong Kong.</w:t>
      </w:r>
    </w:p>
    <w:p>
      <w:pPr>
        <w:spacing w:line="360" w:lineRule="auto" w:after="20"/>
        <w:ind w:firstLine="283"/>
      </w:pPr>
      <w:r>
        <w:t>B. Call the receiving individual to review identity verification documents.</w:t>
      </w:r>
    </w:p>
    <w:p>
      <w:pPr>
        <w:spacing w:line="360" w:lineRule="auto" w:after="20"/>
        <w:ind w:firstLine="283"/>
      </w:pPr>
      <w:r>
        <w:t>C. Confirm that neither the beneficiary nor the originator are sanctioned parties.</w:t>
      </w:r>
    </w:p>
    <w:p>
      <w:pPr>
        <w:spacing w:line="360" w:lineRule="auto" w:after="20"/>
        <w:ind w:firstLine="283"/>
      </w:pPr>
      <w:r>
        <w:t>D. Request relevant supporting documentation, including invoices and contracts, to confirm the purpose of the payment.</w:t>
      </w:r>
    </w:p>
    <w:p>
      <w:pPr>
        <w:spacing w:line="360" w:lineRule="auto" w:after="20"/>
        <w:ind w:firstLine="283"/>
      </w:pPr>
      <w:r>
        <w:t>E. Check adverse media on the sender and recipient through public sources.</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代理行交易警报的初步响应：制裁筛查、核实支付目的与负面新闻</w:t>
      </w:r>
    </w:p>
    <w:p>
      <w:pPr>
        <w:spacing w:before="120" w:after="40"/>
      </w:pPr>
      <w:r>
        <w:rPr>
          <w:b/>
          <w:sz w:val="21"/>
          <w:shd w:fill="D6E4F0" w:val="clear"/>
        </w:rPr>
        <w:t>核心解析</w:t>
      </w:r>
    </w:p>
    <w:p>
      <w:pPr>
        <w:spacing w:line="360" w:lineRule="auto" w:after="40"/>
        <w:ind w:firstLine="420"/>
      </w:pPr>
      <w:r>
        <w:t>机构必须筛查每笔交易以检测制裁风险</w:t>
      </w:r>
      <w:r>
        <w:rPr>
          <w:sz w:val="15"/>
          <w:vertAlign w:val="superscript"/>
        </w:rPr>
        <w:t>P306</w:t>
      </w:r>
      <w:r>
        <w:t>，并持续进行制裁、政治敏感人物和负面新闻筛查</w:t>
      </w:r>
      <w:r>
        <w:rPr>
          <w:sz w:val="15"/>
          <w:vertAlign w:val="superscript"/>
        </w:rPr>
        <w:t>P306</w:t>
      </w:r>
      <w:r>
        <w:t>。分析师审查警报有效性时会评估交易性质、客户资料等</w:t>
      </w:r>
      <w:r>
        <w:rPr>
          <w:sz w:val="15"/>
          <w:vertAlign w:val="superscript"/>
        </w:rPr>
        <w:t>P334</w:t>
      </w:r>
      <w:r>
        <w:t>。信息请求（RFI）指交易对手或代理行提出的正式澄清或额外细节请求</w:t>
      </w:r>
      <w:r>
        <w:rPr>
          <w:sz w:val="15"/>
          <w:vertAlign w:val="superscript"/>
        </w:rPr>
        <w:t>P335</w:t>
      </w:r>
      <w:r>
        <w:t>。本题中，一家国际银行代理行发起的付款触发了监控警报，银行首先应确认受益人和发起人均非受制裁方（C），这直接满足每笔交易的制裁筛查要求；同时要求提供发票和合同等证明文件以确认付款用途（D），属于信息请求实践，有助于核实交易背景；在公开渠道核查发件人和收件人的负面新闻（E），则对应负面新闻筛查，可识别潜在风险。这三个步骤构成警报初次调查的核心动作，先于对外联络和信息共享。</w:t>
      </w:r>
    </w:p>
    <w:p>
      <w:pPr>
        <w:spacing w:before="120" w:after="40"/>
      </w:pPr>
      <w:r>
        <w:rPr>
          <w:b/>
          <w:sz w:val="21"/>
          <w:shd w:fill="D6E4F0" w:val="clear"/>
        </w:rPr>
        <w:t>教材原句</w:t>
      </w:r>
    </w:p>
    <w:p>
      <w:pPr>
        <w:spacing w:line="360" w:lineRule="auto" w:after="40"/>
        <w:ind w:firstLine="420"/>
      </w:pPr>
      <w:r>
        <w:t>"The organization must screen each transaction the customer carries out to detect any sanctions exposure."</w:t>
      </w:r>
    </w:p>
    <w:p>
      <w:pPr>
        <w:spacing w:before="120" w:after="40"/>
      </w:pPr>
      <w:r>
        <w:rPr>
          <w:b/>
          <w:sz w:val="21"/>
          <w:shd w:fill="D6E4F0" w:val="clear"/>
        </w:rPr>
        <w:t>A项错误</w:t>
      </w:r>
    </w:p>
    <w:p>
      <w:pPr>
        <w:spacing w:line="360" w:lineRule="auto" w:after="40"/>
        <w:ind w:firstLine="420"/>
      </w:pPr>
      <w:r>
        <w:t>教材提及美国《爱国者法案》第314(a)和314(b)条允许金融机构与政府机构共享潜在洗钱信息</w:t>
      </w:r>
      <w:r>
        <w:rPr>
          <w:sz w:val="15"/>
          <w:vertAlign w:val="superscript"/>
        </w:rPr>
        <w:t>P335</w:t>
      </w:r>
      <w:r>
        <w:t>，但发出314(b)请求是在完成初步筛查后与其他机构协作时才考虑的措施；在警报处理初期，银行应优先自行完成制裁筛查、文件核查和负面新闻检索，直接与香港银行共享信息的匹配度不如内部核实动作高。</w:t>
      </w:r>
    </w:p>
    <w:p>
      <w:pPr>
        <w:spacing w:before="120" w:after="40"/>
      </w:pPr>
      <w:r>
        <w:rPr>
          <w:b/>
          <w:sz w:val="21"/>
          <w:shd w:fill="D6E4F0" w:val="clear"/>
        </w:rPr>
        <w:t>B项错误</w:t>
      </w:r>
    </w:p>
    <w:p>
      <w:pPr>
        <w:spacing w:line="360" w:lineRule="auto" w:after="40"/>
        <w:ind w:firstLine="420"/>
      </w:pPr>
      <w:r>
        <w:t>联系收件人以核实身份证明文件更多用于客户准入或KYC更新中的身份验证（P410-413），而本题触发的是交易监控警报，应首先从交易层面进行制裁筛查和目的核实；直接联络最终受益人既可能打草惊蛇，也并非教材在警报审查流程中列明的优先动作，相比之下更先进行内部信息核查更为适宜。</w:t>
      </w:r>
    </w:p>
    <w:p>
      <w:pPr>
        <w:spacing w:before="120" w:after="40"/>
      </w:pPr>
      <w:r>
        <w:rPr>
          <w:b/>
          <w:sz w:val="21"/>
          <w:shd w:fill="D6E4F0" w:val="clear"/>
        </w:rPr>
        <w:t>易错提醒</w:t>
      </w:r>
    </w:p>
    <w:p>
      <w:pPr>
        <w:spacing w:line="360" w:lineRule="auto" w:after="40"/>
        <w:ind w:firstLine="420"/>
      </w:pPr>
      <w:r>
        <w:t>面对警报应先以内部信息核查为主（制裁筛查、文件补充、负面新闻），不宜第一时间联络客户或外部机构。教材流程：每笔交易必须制裁筛查</w:t>
      </w:r>
      <w:r>
        <w:rPr>
          <w:sz w:val="15"/>
          <w:vertAlign w:val="superscript"/>
        </w:rPr>
        <w:t>P306</w:t>
      </w:r>
      <w:r>
        <w:t>，并通过信息请求和公开信息收集再决定后续行动。</w:t>
      </w:r>
    </w:p>
    <w:p>
      <w:pPr>
        <w:spacing w:line="360" w:lineRule="auto" w:after="120"/>
      </w:pPr>
      <w:r/>
    </w:p>
    <w:p>
      <w:pPr>
        <w:spacing w:line="360" w:lineRule="auto" w:after="40"/>
      </w:pPr>
      <w:r>
        <w:t>11. Which of the following are key components of the Know Your Customer (KYC) process? (Select Two.) ( )</w:t>
      </w:r>
    </w:p>
    <w:p>
      <w:pPr>
        <w:spacing w:line="360" w:lineRule="auto" w:after="20"/>
        <w:ind w:firstLine="283"/>
      </w:pPr>
      <w:r>
        <w:t>A. Inquiring about the source of wealth and source of funds</w:t>
      </w:r>
    </w:p>
    <w:p>
      <w:pPr>
        <w:spacing w:line="360" w:lineRule="auto" w:after="20"/>
        <w:ind w:firstLine="283"/>
      </w:pPr>
      <w:r>
        <w:t>B. Asking to provide a list of immediate family members</w:t>
      </w:r>
    </w:p>
    <w:p>
      <w:pPr>
        <w:spacing w:line="360" w:lineRule="auto" w:after="20"/>
        <w:ind w:firstLine="283"/>
      </w:pPr>
      <w:r>
        <w:t>C. Verifying the financial crime awareness of the client</w:t>
      </w:r>
    </w:p>
    <w:p>
      <w:pPr>
        <w:spacing w:line="360" w:lineRule="auto" w:after="20"/>
        <w:ind w:firstLine="283"/>
      </w:pPr>
      <w:r>
        <w:t>D. Collecting necessary documents to verify the veracity of information</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KYC流程的两大核心构成：客户身份识别(CIP)与客户尽职调查(CDD)</w:t>
      </w:r>
    </w:p>
    <w:p>
      <w:pPr>
        <w:spacing w:before="120" w:after="40"/>
      </w:pPr>
      <w:r>
        <w:rPr>
          <w:b/>
          <w:sz w:val="21"/>
          <w:shd w:fill="D6E4F0" w:val="clear"/>
        </w:rPr>
        <w:t>核心解析</w:t>
      </w:r>
    </w:p>
    <w:p>
      <w:pPr>
        <w:spacing w:line="360" w:lineRule="auto" w:after="40"/>
        <w:ind w:firstLine="420"/>
      </w:pPr>
      <w:r>
        <w:t>自然人KYC流程包含客户身份识别程序(CIP)和额外尽职调查(P309)。其中CIP要求收集并核实客户身份的核心要素，如法定姓名、出生日期、国籍和居住地址，并收集政府签发的身份证件作为验证文件(P309)——这正是选项D“收集必要的文件以核实信息的真实性”所描述的内容。而额外尽职调查即客户尽职调查(CDD)，需要评估客户的风险等级、财务行为和预期交易，包括收集“就业和收入信息”以及“资金来源与交易活动”信息(P309)；沃尔夫斯堡集团指引也明确银行应调查并记录客户的财富来源与资金来源(P169)。由此可推断，选项A“询问财富来源和资金来源”是CDD的核心内容，而选项D则是CIP的构成部分，两者分属KYC流程的两个关键阶段。</w:t>
      </w:r>
    </w:p>
    <w:p>
      <w:pPr>
        <w:spacing w:before="120" w:after="40"/>
      </w:pPr>
      <w:r>
        <w:rPr>
          <w:b/>
          <w:sz w:val="21"/>
          <w:shd w:fill="D6E4F0" w:val="clear"/>
        </w:rPr>
        <w:t>教材原句</w:t>
      </w:r>
    </w:p>
    <w:p>
      <w:pPr>
        <w:spacing w:line="360" w:lineRule="auto" w:after="40"/>
        <w:ind w:firstLine="420"/>
      </w:pPr>
      <w:r>
        <w:t>"The process consists of the customer identification program (CIP) and additional due diligence."</w:t>
      </w:r>
    </w:p>
    <w:p>
      <w:pPr>
        <w:spacing w:before="120" w:after="40"/>
      </w:pPr>
      <w:r>
        <w:rPr>
          <w:b/>
          <w:sz w:val="21"/>
          <w:shd w:fill="D6E4F0" w:val="clear"/>
        </w:rPr>
        <w:t>B项错误</w:t>
      </w:r>
    </w:p>
    <w:p>
      <w:pPr>
        <w:spacing w:line="360" w:lineRule="auto" w:after="40"/>
        <w:ind w:firstLine="420"/>
      </w:pPr>
      <w:r>
        <w:t>教材提到某些司法管辖区将政治敏感人物(PEP)分类扩展至家庭成员和密切关联人(P320)，但这是针对PEP的特定CDD/EDD规则，并非KYC流程的通用关键组成。题干问的是KYC流程本身的核心组件，而非特定风险场景下的延伸尽职调查对象，因此A和D更直接匹配教材对KYC通用流程的定义。</w:t>
      </w:r>
    </w:p>
    <w:p>
      <w:pPr>
        <w:spacing w:before="120" w:after="40"/>
      </w:pPr>
      <w:r>
        <w:rPr>
          <w:b/>
          <w:sz w:val="21"/>
          <w:shd w:fill="D6E4F0" w:val="clear"/>
        </w:rPr>
        <w:t>C项错误</w:t>
      </w:r>
    </w:p>
    <w:p>
      <w:pPr>
        <w:spacing w:line="360" w:lineRule="auto" w:after="40"/>
        <w:ind w:firstLine="420"/>
      </w:pPr>
      <w:r>
        <w:t>教材中“培训与意识”指的是金融机构对内部员工开展反洗钱培训，确保员工理解自身合规职责(P255)，而非核实客户的金融犯罪防范意识。KYC流程的焦点是了解客户身份、风险状况和资金来源，题干未涉及对客户合规意识的评估，这与教材对KYC的界定不匹配。</w:t>
      </w:r>
    </w:p>
    <w:p>
      <w:pPr>
        <w:spacing w:before="120" w:after="40"/>
      </w:pPr>
      <w:r>
        <w:rPr>
          <w:b/>
          <w:sz w:val="21"/>
          <w:shd w:fill="D6E4F0" w:val="clear"/>
        </w:rPr>
        <w:t>易错提醒</w:t>
      </w:r>
    </w:p>
    <w:p>
      <w:pPr>
        <w:spacing w:line="360" w:lineRule="auto" w:after="40"/>
        <w:ind w:firstLine="420"/>
      </w:pPr>
      <w:r>
        <w:t>区分KYC、CDD、EDD：KYC是整个了解客户的流程框架，由CIP（收集核实身份）和CDD（评估风险、资金背景）组成(P309)；EDD是针对高风险客户的强化版本，要求更全面的财富来源验证(P310)。选项B涉及家庭成员，出现在PEP的EDD场景中而非通用KYC组成。</w:t>
      </w:r>
    </w:p>
    <w:p>
      <w:pPr>
        <w:spacing w:line="360" w:lineRule="auto" w:after="120"/>
      </w:pPr>
      <w:r/>
    </w:p>
    <w:p>
      <w:pPr>
        <w:spacing w:line="360" w:lineRule="auto" w:after="40"/>
      </w:pPr>
      <w:r>
        <w:t>12. A compliance officer at a financial institution (FI) is reviewing a new client application for a Virtual Asset Service Provider (VASP). Which details should be part of the risk assessment to determine whether the customer falls within the FI's financial crimes risk appetite? (Select Three.) ( )</w:t>
      </w:r>
    </w:p>
    <w:p>
      <w:pPr>
        <w:spacing w:line="360" w:lineRule="auto" w:after="20"/>
        <w:ind w:firstLine="283"/>
      </w:pPr>
      <w:r>
        <w:t>A. Whether the VASP's procedures are sufficient for protecting client personally identifiable information</w:t>
      </w:r>
    </w:p>
    <w:p>
      <w:pPr>
        <w:spacing w:line="360" w:lineRule="auto" w:after="20"/>
        <w:ind w:firstLine="283"/>
      </w:pPr>
      <w:r>
        <w:t>B. What percentage of the VASP's clients are classified as higher-risk</w:t>
      </w:r>
    </w:p>
    <w:p>
      <w:pPr>
        <w:spacing w:line="360" w:lineRule="auto" w:after="20"/>
        <w:ind w:firstLine="283"/>
      </w:pPr>
      <w:r>
        <w:t>C. Which registered institutions act on behalf of the VASP as operators of virtual asset wallets and virtual asset exchange offices</w:t>
      </w:r>
    </w:p>
    <w:p>
      <w:pPr>
        <w:spacing w:line="360" w:lineRule="auto" w:after="20"/>
        <w:ind w:firstLine="283"/>
      </w:pPr>
      <w:r>
        <w:t>D. Whether the VASP is utilizing central bank digital currencies</w:t>
      </w:r>
    </w:p>
    <w:p>
      <w:pPr>
        <w:spacing w:line="360" w:lineRule="auto" w:after="20"/>
        <w:ind w:firstLine="283"/>
      </w:pPr>
      <w:r>
        <w:t>E. Who the VASP's clients are, including the breakdown of foreign and domestic individuals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客户风险评估的构成要素与风险偏好匹配</w:t>
      </w:r>
    </w:p>
    <w:p>
      <w:pPr>
        <w:spacing w:before="120" w:after="40"/>
      </w:pPr>
      <w:r>
        <w:rPr>
          <w:b/>
          <w:sz w:val="21"/>
          <w:shd w:fill="D6E4F0" w:val="clear"/>
        </w:rPr>
        <w:t>核心解析</w:t>
      </w:r>
    </w:p>
    <w:p>
      <w:pPr>
        <w:spacing w:line="360" w:lineRule="auto" w:after="40"/>
        <w:ind w:firstLine="420"/>
      </w:pPr>
      <w:r>
        <w:t>客户风险评估是确定客户金融犯罪风险并据此决定监控级别的合规流程</w:t>
      </w:r>
      <w:r>
        <w:rPr>
          <w:sz w:val="15"/>
          <w:vertAlign w:val="superscript"/>
        </w:rPr>
        <w:t>P307</w:t>
      </w:r>
      <w:r>
        <w:t>。其核心在于通过评估客户画像、产品、地理等多维度风险要素，识别可能超出机构风险偏好的客户</w:t>
      </w:r>
      <w:r>
        <w:rPr>
          <w:sz w:val="15"/>
          <w:vertAlign w:val="superscript"/>
        </w:rPr>
        <w:t>P281</w:t>
      </w:r>
      <w:r>
        <w:t>。本题中，评估一个新客户VASP是否在金融机构的风险偏好范围内，需要围绕VASP自身的客户构成、业务代理关系以及其客户群的风险特征展开。选项B“高风险客户比例”直接体现了VASP业务中蕴含的固有风险水平；选项C“代理机构”揭示了VASP的业务运营结构和交付渠道，是了解其业务实质的关键；选项E“客户是谁（含国内外详细分类）”则对应客户画像和地理风险这两个核心风险维度。这三项均直接导向对VASP本身金融犯罪风险的判断，符合客户风险评估的定义。</w:t>
      </w:r>
    </w:p>
    <w:p>
      <w:pPr>
        <w:spacing w:before="120" w:after="40"/>
      </w:pPr>
      <w:r>
        <w:rPr>
          <w:b/>
          <w:sz w:val="21"/>
          <w:shd w:fill="D6E4F0" w:val="clear"/>
        </w:rPr>
        <w:t>A项错误</w:t>
      </w:r>
    </w:p>
    <w:p>
      <w:pPr>
        <w:spacing w:line="360" w:lineRule="auto" w:after="40"/>
        <w:ind w:firstLine="420"/>
      </w:pPr>
      <w:r>
        <w:t>选项A关注的是VASP自身保护客户信息的程序，这属于VASP内部的运营控制措施。相比之下，题干所问的“机构自身的风险评估”更侧重于对客户（即VASP）固有风险特征的判断，而非审查其内部控制是否充分，因此B、C、E与教材对客户风险评估的定义匹配更直接。</w:t>
      </w:r>
    </w:p>
    <w:p>
      <w:pPr>
        <w:spacing w:before="120" w:after="40"/>
      </w:pPr>
      <w:r>
        <w:rPr>
          <w:b/>
          <w:sz w:val="21"/>
          <w:shd w:fill="D6E4F0" w:val="clear"/>
        </w:rPr>
        <w:t>D项错误</w:t>
      </w:r>
    </w:p>
    <w:p>
      <w:pPr>
        <w:spacing w:line="360" w:lineRule="auto" w:after="40"/>
        <w:ind w:firstLine="420"/>
      </w:pPr>
      <w:r>
        <w:t>央行数字货币（CBDC）是政府发行的数字法定货币</w:t>
      </w:r>
      <w:r>
        <w:rPr>
          <w:sz w:val="15"/>
          <w:vertAlign w:val="superscript"/>
        </w:rPr>
        <w:t>P112</w:t>
      </w:r>
      <w:r>
        <w:t>，题干并未提及该VASP的业务是否涉及CBDC。在缺乏这一关键事实要素的情况下，此选项不如B、C、E那样能普遍适用于VASP的风险评估。</w:t>
      </w:r>
    </w:p>
    <w:p>
      <w:pPr>
        <w:spacing w:before="120" w:after="40"/>
      </w:pPr>
      <w:r>
        <w:rPr>
          <w:b/>
          <w:sz w:val="21"/>
          <w:shd w:fill="D6E4F0" w:val="clear"/>
        </w:rPr>
        <w:t>易错提醒</w:t>
      </w:r>
    </w:p>
    <w:p>
      <w:pPr>
        <w:spacing w:line="360" w:lineRule="auto" w:after="40"/>
        <w:ind w:firstLine="420"/>
      </w:pPr>
      <w:r>
        <w:t>注意区分“评估客户（VASP）的固有风险”与“评估客户自身的管理能力”。风险评估的核心是了解客户是谁、做什么、与谁交易，从而判断其带来的金融犯罪风险</w:t>
      </w:r>
      <w:r>
        <w:rPr>
          <w:sz w:val="15"/>
          <w:vertAlign w:val="superscript"/>
        </w:rPr>
        <w:t>P307</w:t>
      </w:r>
      <w:r>
        <w:t>，而非直接评估其内部政策程序的充分性。</w:t>
      </w:r>
    </w:p>
    <w:p>
      <w:pPr>
        <w:spacing w:line="360" w:lineRule="auto" w:after="120"/>
      </w:pPr>
      <w:r/>
    </w:p>
    <w:p>
      <w:pPr>
        <w:spacing w:line="360" w:lineRule="auto" w:after="40"/>
      </w:pPr>
      <w:r>
        <w:t>13. Which of the following are potential financial crime-related red flags when obtaining client data? (Choose three.) ( )</w:t>
      </w:r>
    </w:p>
    <w:p>
      <w:pPr>
        <w:spacing w:line="360" w:lineRule="auto" w:after="20"/>
        <w:ind w:firstLine="283"/>
      </w:pPr>
      <w:r>
        <w:t>A. A client frequently submits financial statements much earlier than required, appearing overly eager</w:t>
      </w:r>
    </w:p>
    <w:p>
      <w:pPr>
        <w:spacing w:line="360" w:lineRule="auto" w:after="20"/>
        <w:ind w:firstLine="283"/>
      </w:pPr>
      <w:r>
        <w:t>B. A client insists on using a personal bank account for business transactions despite being advised otherwise</w:t>
      </w:r>
    </w:p>
    <w:p>
      <w:pPr>
        <w:spacing w:line="360" w:lineRule="auto" w:after="20"/>
        <w:ind w:firstLine="283"/>
      </w:pPr>
      <w:r>
        <w:t>C. A new client shows a preference for minimal direct interaction and relies primarily on indirect communication methods, citing convenience or time constraints</w:t>
      </w:r>
    </w:p>
    <w:p>
      <w:pPr>
        <w:spacing w:line="360" w:lineRule="auto" w:after="20"/>
        <w:ind w:firstLine="283"/>
      </w:pPr>
      <w:r>
        <w:t>D. The client is a publicly listed company with highly diversified operations</w:t>
      </w:r>
    </w:p>
    <w:p>
      <w:pPr>
        <w:spacing w:line="360" w:lineRule="auto" w:after="20"/>
        <w:ind w:firstLine="283"/>
      </w:pPr>
      <w:r>
        <w:t>E. Ultimate beneficial ownership is unclear</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识别开户阶段客户行为与所有权结构中的金融犯罪危险信号</w:t>
      </w:r>
    </w:p>
    <w:p>
      <w:pPr>
        <w:spacing w:before="120" w:after="40"/>
      </w:pPr>
      <w:r>
        <w:rPr>
          <w:b/>
          <w:sz w:val="21"/>
          <w:shd w:fill="D6E4F0" w:val="clear"/>
        </w:rPr>
        <w:t>核心解析</w:t>
      </w:r>
    </w:p>
    <w:p>
      <w:pPr>
        <w:spacing w:line="360" w:lineRule="auto" w:after="40"/>
        <w:ind w:firstLine="420"/>
      </w:pPr>
      <w:r>
        <w:t>在获取客户数据时，危险信号是指可能暗示金融犯罪风险的客户特征或行为。账户活动与预期目的不一致是一个明确的危险信号</w:t>
      </w:r>
      <w:r>
        <w:rPr>
          <w:sz w:val="15"/>
          <w:vertAlign w:val="superscript"/>
        </w:rPr>
        <w:t>P138</w:t>
      </w:r>
      <w:r>
        <w:t>，例如坚持使用个人账户处理商业交易，直接背离了账户的正常用途。教材也将“企图隐藏身份或地点”列为洗钱风险信号</w:t>
      </w:r>
      <w:r>
        <w:rPr>
          <w:sz w:val="15"/>
          <w:vertAlign w:val="superscript"/>
        </w:rPr>
        <w:t>P99</w:t>
      </w:r>
      <w:r>
        <w:t>，客户回避直接交流、依赖间接沟通，正属于此类规避面对面接触的行为，与之吻合。此外，复杂所有权结构导致最终受益所有人不明确，是高风险客户的固有特征</w:t>
      </w:r>
      <w:r>
        <w:rPr>
          <w:sz w:val="15"/>
          <w:vertAlign w:val="superscript"/>
        </w:rPr>
        <w:t>P312</w:t>
      </w:r>
      <w:r>
        <w:t>，属于典型的危险信号。选项A“过早提交财务报表”在教材中并无对应的风险指标；选项D仅提到“业务非常多元化”，教材指出只有当多元化同时涉及高价值或高风险行业时才需加强尽调</w:t>
      </w:r>
      <w:r>
        <w:rPr>
          <w:sz w:val="15"/>
          <w:vertAlign w:val="superscript"/>
        </w:rPr>
        <w:t>P130</w:t>
      </w:r>
      <w:r>
        <w:t>，单纯的多元化本身并不能直接等同危险信号。因此B、C、E更直接匹配教材所界定的危险信号。</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A项错误</w:t>
      </w:r>
    </w:p>
    <w:p>
      <w:pPr>
        <w:spacing w:line="360" w:lineRule="auto" w:after="40"/>
        <w:ind w:firstLine="420"/>
      </w:pPr>
      <w:r>
        <w:t>教材列举的危险信号并未涵盖“过早提交财务报表”这一行为。题干只描述了客户提前提交且显得急切，在缺乏其他可疑背景时，该行为不如B、C、E项那样直接对应教材已知的危险信号。</w:t>
      </w:r>
    </w:p>
    <w:p>
      <w:pPr>
        <w:spacing w:before="120" w:after="40"/>
      </w:pPr>
      <w:r>
        <w:rPr>
          <w:b/>
          <w:sz w:val="21"/>
          <w:shd w:fill="D6E4F0" w:val="clear"/>
        </w:rPr>
        <w:t>D项错误</w:t>
      </w:r>
    </w:p>
    <w:p>
      <w:pPr>
        <w:spacing w:line="360" w:lineRule="auto" w:after="40"/>
        <w:ind w:firstLine="420"/>
      </w:pPr>
      <w:r>
        <w:t>教材指出，多元化经营且涉及高价值高风险行业的企业应接受强化尽调</w:t>
      </w:r>
      <w:r>
        <w:rPr>
          <w:sz w:val="15"/>
          <w:vertAlign w:val="superscript"/>
        </w:rPr>
        <w:t>P130</w:t>
      </w:r>
      <w:r>
        <w:t>，但题干仅强调“业务非常多元化”，未表明其属于高风险行业。单纯的业务多元化本身并非直接危险信号，匹配度不如B、C、E项。</w:t>
      </w:r>
    </w:p>
    <w:p>
      <w:pPr>
        <w:spacing w:before="120" w:after="40"/>
      </w:pPr>
      <w:r>
        <w:rPr>
          <w:b/>
          <w:sz w:val="21"/>
          <w:shd w:fill="D6E4F0" w:val="clear"/>
        </w:rPr>
        <w:t>易错提醒</w:t>
      </w:r>
    </w:p>
    <w:p>
      <w:pPr>
        <w:spacing w:line="360" w:lineRule="auto" w:after="40"/>
        <w:ind w:firstLine="420"/>
      </w:pPr>
      <w:r>
        <w:t>业务多元化本身不是危险信号，仅当多元化同时涉及高价值或高风险行业时，才需要强化尽调</w:t>
      </w:r>
      <w:r>
        <w:rPr>
          <w:sz w:val="15"/>
          <w:vertAlign w:val="superscript"/>
        </w:rPr>
        <w:t>P130</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