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When deciding on the frequency of periodic customer due diligence (CDD) refresh, firms should foremost consider the: ( )</w:t>
      </w:r>
    </w:p>
    <w:p>
      <w:pPr>
        <w:spacing w:line="360" w:lineRule="auto" w:after="20"/>
        <w:ind w:firstLine="283"/>
      </w:pPr>
      <w:r>
        <w:t>A. Risk profile of customers</w:t>
      </w:r>
    </w:p>
    <w:p>
      <w:pPr>
        <w:spacing w:line="360" w:lineRule="auto" w:after="20"/>
        <w:ind w:firstLine="283"/>
      </w:pPr>
      <w:r>
        <w:t>B. Available level of automation for the process</w:t>
      </w:r>
    </w:p>
    <w:p>
      <w:pPr>
        <w:spacing w:line="360" w:lineRule="auto" w:after="20"/>
        <w:ind w:firstLine="283"/>
      </w:pPr>
      <w:r>
        <w:t>C. Operational burden of periodic refresh implementation</w:t>
      </w:r>
    </w:p>
    <w:p>
      <w:pPr>
        <w:spacing w:line="360" w:lineRule="auto" w:after="20"/>
        <w:ind w:firstLine="283"/>
      </w:pPr>
      <w:r>
        <w:t>D. Cost of implementation</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定期CDD更新频率的核心决定因素是客户风险概况（风险为本方法）</w:t>
      </w:r>
    </w:p>
    <w:p>
      <w:pPr>
        <w:spacing w:before="120" w:after="40"/>
      </w:pPr>
      <w:r>
        <w:rPr>
          <w:b/>
          <w:sz w:val="21"/>
          <w:shd w:fill="D6E4F0" w:val="clear"/>
        </w:rPr>
        <w:t>核心解析</w:t>
      </w:r>
    </w:p>
    <w:p>
      <w:pPr>
        <w:spacing w:line="360" w:lineRule="auto" w:after="40"/>
        <w:ind w:firstLine="420"/>
      </w:pPr>
      <w:r>
        <w:t>教材规定，定期KYC审查应“基于客户的风险等级”定期进行，机构须根据风险等级更新客户信息、所有权结构、业务活动和风险分类</w:t>
      </w:r>
      <w:r>
        <w:rPr>
          <w:sz w:val="15"/>
          <w:vertAlign w:val="superscript"/>
        </w:rPr>
        <w:t>P315</w:t>
      </w:r>
      <w:r>
        <w:t>。同时，制定持续客户尽职调查计划也须使用风险为本的方法</w:t>
      </w:r>
      <w:r>
        <w:rPr>
          <w:sz w:val="15"/>
          <w:vertAlign w:val="superscript"/>
        </w:rPr>
        <w:t>P181</w:t>
      </w:r>
      <w:r>
        <w:t>。题干问的是定期CDD更新的“频率”首先考虑什么，在风险为本的框架下，客户的风险概况直接决定了审查周期——高风险客户通常每年审查一次，中风险客户每两到三年审查一次</w:t>
      </w:r>
      <w:r>
        <w:rPr>
          <w:sz w:val="15"/>
          <w:vertAlign w:val="superscript"/>
        </w:rPr>
        <w:t>P315</w:t>
      </w:r>
      <w:r>
        <w:t>。因此，客户的风险概况是驱动更新频率的首要因素。</w:t>
      </w:r>
    </w:p>
    <w:p>
      <w:pPr>
        <w:spacing w:before="120" w:after="40"/>
      </w:pPr>
      <w:r>
        <w:rPr>
          <w:b/>
          <w:sz w:val="21"/>
          <w:shd w:fill="D6E4F0" w:val="clear"/>
        </w:rPr>
        <w:t>教材原句</w:t>
      </w:r>
    </w:p>
    <w:p>
      <w:pPr>
        <w:spacing w:line="360" w:lineRule="auto" w:after="40"/>
        <w:ind w:firstLine="420"/>
      </w:pPr>
      <w:r>
        <w:t>"Periodic KYC reviews take place at regular intervals, based on the customer’s risk level. Financial institutions must review and update customer information, ownership structures, business activities, and risk classifications."</w:t>
      </w:r>
    </w:p>
    <w:p>
      <w:pPr>
        <w:spacing w:before="120" w:after="40"/>
      </w:pPr>
      <w:r>
        <w:rPr>
          <w:b/>
          <w:sz w:val="21"/>
          <w:shd w:fill="D6E4F0" w:val="clear"/>
        </w:rPr>
        <w:t>B项错误</w:t>
      </w:r>
    </w:p>
    <w:p>
      <w:pPr>
        <w:spacing w:line="360" w:lineRule="auto" w:after="40"/>
        <w:ind w:firstLine="420"/>
      </w:pPr>
      <w:r>
        <w:t>教材指出，在应用自动化之前，应首先进行流程再造以确保流程稳健合规</w:t>
      </w:r>
      <w:r>
        <w:rPr>
          <w:sz w:val="15"/>
          <w:vertAlign w:val="superscript"/>
        </w:rPr>
        <w:t>P397</w:t>
      </w:r>
      <w:r>
        <w:t>，可见自动化程度并非决定CDD更新频率的驱动因素，而是在风险为本的更新机制确定后用来提升效率的手段，匹配度不如风险概况直接。</w:t>
      </w:r>
    </w:p>
    <w:p>
      <w:pPr>
        <w:spacing w:before="120" w:after="40"/>
      </w:pPr>
      <w:r>
        <w:rPr>
          <w:b/>
          <w:sz w:val="21"/>
          <w:shd w:fill="D6E4F0" w:val="clear"/>
        </w:rPr>
        <w:t>C项错误</w:t>
      </w:r>
    </w:p>
    <w:p>
      <w:pPr>
        <w:spacing w:line="360" w:lineRule="auto" w:after="40"/>
        <w:ind w:firstLine="420"/>
      </w:pPr>
      <w:r>
        <w:t>教材虽然提到过度联系客户会增加运营成本，并建议用技术减少操作负担</w:t>
      </w:r>
      <w:r>
        <w:rPr>
          <w:sz w:val="15"/>
          <w:vertAlign w:val="superscript"/>
        </w:rPr>
        <w:t>P382</w:t>
      </w:r>
      <w:r>
        <w:t>，但这些讨论着眼于如何更高效地执行更新，而非用什么标准决定更新频率。更新频率的设定仍以客户风险等级为基准，操作负担只是实施层面的考量。</w:t>
      </w:r>
    </w:p>
    <w:p>
      <w:pPr>
        <w:spacing w:before="120" w:after="40"/>
      </w:pPr>
      <w:r>
        <w:rPr>
          <w:b/>
          <w:sz w:val="21"/>
          <w:shd w:fill="D6E4F0" w:val="clear"/>
        </w:rPr>
        <w:t>D项错误</w:t>
      </w:r>
    </w:p>
    <w:p>
      <w:pPr>
        <w:spacing w:line="360" w:lineRule="auto" w:after="40"/>
        <w:ind w:firstLine="420"/>
      </w:pPr>
      <w:r>
        <w:t>教材在技术采购部分提及总拥有成本等成本考量</w:t>
      </w:r>
      <w:r>
        <w:rPr>
          <w:sz w:val="15"/>
          <w:vertAlign w:val="superscript"/>
        </w:rPr>
        <w:t>P378</w:t>
      </w:r>
      <w:r>
        <w:t>，但那是针对系统建设而非CDD更新频率的决策。更新频率的决定依据是风险水平，成本因素影响的是如何在预算内执行更新，而非更新应多久执行一次。</w:t>
      </w:r>
    </w:p>
    <w:p>
      <w:pPr>
        <w:spacing w:before="120" w:after="40"/>
      </w:pPr>
      <w:r>
        <w:rPr>
          <w:b/>
          <w:sz w:val="21"/>
          <w:shd w:fill="D6E4F0" w:val="clear"/>
        </w:rPr>
        <w:t>易错提醒</w:t>
      </w:r>
    </w:p>
    <w:p>
      <w:pPr>
        <w:spacing w:line="360" w:lineRule="auto" w:after="40"/>
        <w:ind w:firstLine="420"/>
      </w:pPr>
      <w:r>
        <w:t>注意区分“风险因素”与“实施因素”。教材明确定期CDD更新频率基于客户风险等级</w:t>
      </w:r>
      <w:r>
        <w:rPr>
          <w:sz w:val="15"/>
          <w:vertAlign w:val="superscript"/>
        </w:rPr>
        <w:t>P315</w:t>
      </w:r>
      <w:r>
        <w:t>，而自动化、操作负担和成本属于风险为本方案落地时的优化考量，它们不能取代客户风险状况作为决定更新频率的首要标准。</w:t>
      </w:r>
    </w:p>
    <w:p>
      <w:pPr>
        <w:spacing w:line="360" w:lineRule="auto" w:after="120"/>
      </w:pPr>
      <w:r/>
    </w:p>
    <w:p>
      <w:pPr>
        <w:spacing w:line="360" w:lineRule="auto" w:after="40"/>
      </w:pPr>
      <w:r>
        <w:t>2. Which of the following can be considered a reliable, independent source document, data, or information? ( )</w:t>
      </w:r>
    </w:p>
    <w:p>
      <w:pPr>
        <w:spacing w:line="360" w:lineRule="auto" w:after="20"/>
        <w:ind w:firstLine="283"/>
      </w:pPr>
      <w:r>
        <w:t>A. Information provided by a prospective customer</w:t>
      </w:r>
    </w:p>
    <w:p>
      <w:pPr>
        <w:spacing w:line="360" w:lineRule="auto" w:after="20"/>
        <w:ind w:firstLine="283"/>
      </w:pPr>
      <w:r>
        <w:t>B. A photocopy of a copy of a government-issued identity document</w:t>
      </w:r>
    </w:p>
    <w:p>
      <w:pPr>
        <w:spacing w:line="360" w:lineRule="auto" w:after="20"/>
        <w:ind w:firstLine="283"/>
      </w:pPr>
      <w:r>
        <w:t>C. Information obtained from an open-source database</w:t>
      </w:r>
    </w:p>
    <w:p>
      <w:pPr>
        <w:spacing w:line="360" w:lineRule="auto" w:after="20"/>
        <w:ind w:firstLine="283"/>
      </w:pPr>
      <w:r>
        <w:t>D. Information obtained directly from a government-managed registry</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区分信息来源的独立性与可靠性等级</w:t>
      </w:r>
    </w:p>
    <w:p>
      <w:pPr>
        <w:spacing w:before="120" w:after="40"/>
      </w:pPr>
      <w:r>
        <w:rPr>
          <w:b/>
          <w:sz w:val="21"/>
          <w:shd w:fill="D6E4F0" w:val="clear"/>
        </w:rPr>
        <w:t>核心解析</w:t>
      </w:r>
    </w:p>
    <w:p>
      <w:pPr>
        <w:spacing w:line="360" w:lineRule="auto" w:after="40"/>
        <w:ind w:firstLine="420"/>
      </w:pPr>
      <w:r>
        <w:t>教材构建了一个信息来源可靠性的等级体系：机构必须优先使用经过验证的信息来源</w:t>
      </w:r>
      <w:r>
        <w:rPr>
          <w:sz w:val="15"/>
          <w:vertAlign w:val="superscript"/>
        </w:rPr>
        <w:t>P323</w:t>
      </w:r>
      <w:r>
        <w:t>，可靠来源包括监管报告、主要金融出版物和执法通知，而未经验证的社交媒体帖子和低质量博客则需要谨慎评估</w:t>
      </w:r>
      <w:r>
        <w:rPr>
          <w:sz w:val="15"/>
          <w:vertAlign w:val="superscript"/>
        </w:rPr>
        <w:t>P322</w:t>
      </w:r>
      <w:r>
        <w:t>。在此框架下，评估一个来源是否“可靠、独立”，核心标准是：信息产生方是否独立于客户，以及信息是否经过官方机构的验证和背书。选项D“直接从政府管理的登记处获取的信息”由政府部门产生并维护，不经过客户之手，信息产生链条上没有任何客户介入环节，同时政府登记处（如商业登记、UBO数据库）被教材明确列为尽职调查中可依赖的外部数据类型</w:t>
      </w:r>
      <w:r>
        <w:rPr>
          <w:sz w:val="15"/>
          <w:vertAlign w:val="superscript"/>
        </w:rPr>
        <w:t>P467</w:t>
      </w:r>
      <w:r>
        <w:t>，并且在身份验证场景中，政府信息与金融机构流程的整合能加快验证效率</w:t>
      </w:r>
      <w:r>
        <w:rPr>
          <w:sz w:val="15"/>
          <w:vertAlign w:val="superscript"/>
        </w:rPr>
        <w:t>P404</w:t>
      </w:r>
      <w:r>
        <w:t>。相比之下，其他选项在独立性或可靠性上均存在明显短板：客户提供的信息依附于客户本身，无从独立验证；复印件的复印件在传递链条中逐层衰减可信度；开源数据库的信息来源可能不可靠，分析师需先确认其可靠性才能依赖</w:t>
      </w:r>
      <w:r>
        <w:rPr>
          <w:sz w:val="15"/>
          <w:vertAlign w:val="superscript"/>
        </w:rPr>
        <w:t>P399</w:t>
      </w:r>
      <w:r>
        <w:t>。因此，在教材的可靠性等级框架下，题干条件最直接匹配选项D。</w:t>
      </w:r>
    </w:p>
    <w:p>
      <w:pPr>
        <w:spacing w:before="120" w:after="40"/>
      </w:pPr>
      <w:r>
        <w:rPr>
          <w:b/>
          <w:sz w:val="21"/>
          <w:shd w:fill="D6E4F0" w:val="clear"/>
        </w:rPr>
        <w:t>教材原句</w:t>
      </w:r>
    </w:p>
    <w:p>
      <w:pPr>
        <w:spacing w:line="360" w:lineRule="auto" w:after="40"/>
        <w:ind w:firstLine="420"/>
      </w:pPr>
      <w:r>
        <w:t>"Organizations must agree to and prioritize verified sources."</w:t>
      </w:r>
    </w:p>
    <w:p>
      <w:pPr>
        <w:spacing w:before="120" w:after="40"/>
      </w:pPr>
      <w:r>
        <w:rPr>
          <w:b/>
          <w:sz w:val="21"/>
          <w:shd w:fill="D6E4F0" w:val="clear"/>
        </w:rPr>
        <w:t>A项错误</w:t>
      </w:r>
    </w:p>
    <w:p>
      <w:pPr>
        <w:spacing w:line="360" w:lineRule="auto" w:after="40"/>
        <w:ind w:firstLine="420"/>
      </w:pPr>
      <w:r>
        <w:t>潜在客户提供的信息来源于客户本身，而客户正是尽职调查的对象，教材未将其纳入“可靠来源”的范畴（可靠来源列举的是监管报告、主要金融出版物、执法通知等独立第三方，P322）。在可靠性等级上，客户自述的信息远不如政府登记处产生的信息具有独立验证属性。如果客户提供的信息能附带独立的官方佐证，则佐证文件本身才可能构成可靠来源。</w:t>
      </w:r>
    </w:p>
    <w:p>
      <w:pPr>
        <w:spacing w:before="120" w:after="40"/>
      </w:pPr>
      <w:r>
        <w:rPr>
          <w:b/>
          <w:sz w:val="21"/>
          <w:shd w:fill="D6E4F0" w:val="clear"/>
        </w:rPr>
        <w:t>B项错误</w:t>
      </w:r>
    </w:p>
    <w:p>
      <w:pPr>
        <w:spacing w:line="360" w:lineRule="auto" w:after="40"/>
        <w:ind w:firstLine="420"/>
      </w:pPr>
      <w:r>
        <w:t>教材对身份验证的要求是“通过政府签发的证件、生物识别认证和技术解决方案验证客户身份”</w:t>
      </w:r>
      <w:r>
        <w:rPr>
          <w:sz w:val="15"/>
          <w:vertAlign w:val="superscript"/>
        </w:rPr>
        <w:t>P301</w:t>
      </w:r>
      <w:r>
        <w:t>，指向的是证件原件或经技术手段验证的数字化版本。复印件的复印件经历了两次复制，过程中没有任何官方机构或技术手段对复制品的真实性进行再确认，其信息保真度逐层衰减，难以满足教材对“可靠原始文件”的要求。相比之下，选项D的信息直接从政府登记处获取，未经任何中间复制环节。</w:t>
      </w:r>
    </w:p>
    <w:p>
      <w:pPr>
        <w:spacing w:before="120" w:after="40"/>
      </w:pPr>
      <w:r>
        <w:rPr>
          <w:b/>
          <w:sz w:val="21"/>
          <w:shd w:fill="D6E4F0" w:val="clear"/>
        </w:rPr>
        <w:t>C项错误</w:t>
      </w:r>
    </w:p>
    <w:p>
      <w:pPr>
        <w:spacing w:line="360" w:lineRule="auto" w:after="40"/>
        <w:ind w:firstLine="420"/>
      </w:pPr>
      <w:r>
        <w:t>教材明确指出“OSINT从可能不可靠的来源获取信息，因此分析师应确认信息来源才能依赖它”</w:t>
      </w:r>
      <w:r>
        <w:rPr>
          <w:sz w:val="15"/>
          <w:vertAlign w:val="superscript"/>
        </w:rPr>
        <w:t>P399</w:t>
      </w:r>
      <w:r>
        <w:t>，这本身就说明开源数据库中的信息的可靠性是不确定的、需要二次验证的。与之相对，政府管理的登记处是官方一手数据源，不需要分析师再额外去验证“这个登记处是否可靠”。在教材的可靠性等级中，政府登记处天然处于比开源数据库更高的位置，题干对“可靠”的要求更直接匹配选项D。</w:t>
      </w:r>
    </w:p>
    <w:p>
      <w:pPr>
        <w:spacing w:before="120" w:after="40"/>
      </w:pPr>
      <w:r>
        <w:rPr>
          <w:b/>
          <w:sz w:val="21"/>
          <w:shd w:fill="D6E4F0" w:val="clear"/>
        </w:rPr>
        <w:t>易错提醒</w:t>
      </w:r>
    </w:p>
    <w:p>
      <w:pPr>
        <w:spacing w:line="360" w:lineRule="auto" w:after="40"/>
        <w:ind w:firstLine="420"/>
      </w:pPr>
      <w:r>
        <w:t>政府登记处（government-managed registry）与开源数据库（open-source database）的区分：前者是官方机构直接管理和维护的信息集合（如商业登记、UBO数据库），信息产生方就是政府本身，具有天然的公信力背书；后者是任何人可访问的信息汇集，其数据可能来自政府公开数据，也可能来自未经核实的第三方渠道，因此教材要求使用前必须先确认来源可靠性</w:t>
      </w:r>
      <w:r>
        <w:rPr>
          <w:sz w:val="15"/>
          <w:vertAlign w:val="superscript"/>
        </w:rPr>
        <w:t>P399</w:t>
      </w:r>
      <w:r>
        <w:t>。简言之：政府登记处本身就是“可靠来源”的定义对象，而开源数据库中的信息需要被评估“是否来自可靠来源”。</w:t>
      </w:r>
    </w:p>
    <w:p>
      <w:pPr>
        <w:spacing w:line="360" w:lineRule="auto" w:after="120"/>
      </w:pPr>
      <w:r/>
    </w:p>
    <w:p>
      <w:pPr>
        <w:spacing w:line="360" w:lineRule="auto" w:after="40"/>
      </w:pPr>
      <w:r>
        <w:t>3. Which activities are part of adverse media screening for negative news and reputational risks? (Select Three.) ( )</w:t>
      </w:r>
    </w:p>
    <w:p>
      <w:pPr>
        <w:spacing w:line="360" w:lineRule="auto" w:after="20"/>
        <w:ind w:firstLine="283"/>
      </w:pPr>
      <w:r>
        <w:t>A. Analyzing customer sentiment through feedback and surveys.</w:t>
      </w:r>
    </w:p>
    <w:p>
      <w:pPr>
        <w:spacing w:line="360" w:lineRule="auto" w:after="20"/>
        <w:ind w:firstLine="283"/>
      </w:pPr>
      <w:r>
        <w:t>B. Identifying individuals or entities linked to criminal activities or sanctions.</w:t>
      </w:r>
    </w:p>
    <w:p>
      <w:pPr>
        <w:spacing w:line="360" w:lineRule="auto" w:after="20"/>
        <w:ind w:firstLine="283"/>
      </w:pPr>
      <w:r>
        <w:t>C. Periodically monitoring regulatory updates and enforcement actions for associated entities.</w:t>
      </w:r>
    </w:p>
    <w:p>
      <w:pPr>
        <w:spacing w:line="360" w:lineRule="auto" w:after="20"/>
        <w:ind w:firstLine="283"/>
      </w:pPr>
      <w:r>
        <w:t>D. Scanning publicly available news articles and regulatory alerts.</w:t>
      </w:r>
    </w:p>
    <w:p>
      <w:pPr>
        <w:spacing w:line="360" w:lineRule="auto" w:after="20"/>
        <w:ind w:firstLine="283"/>
      </w:pPr>
      <w:r>
        <w:t>E. Monitoring changes in credit scores of individuals or entities.</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负面媒体筛查的核心：公开信息中与金融犯罪、制裁及监管行动相关的风险识别</w:t>
      </w:r>
    </w:p>
    <w:p>
      <w:pPr>
        <w:spacing w:before="120" w:after="40"/>
      </w:pPr>
      <w:r>
        <w:rPr>
          <w:b/>
          <w:sz w:val="21"/>
          <w:shd w:fill="D6E4F0" w:val="clear"/>
        </w:rPr>
        <w:t>核心解析</w:t>
      </w:r>
    </w:p>
    <w:p>
      <w:pPr>
        <w:spacing w:line="360" w:lineRule="auto" w:after="40"/>
        <w:ind w:firstLine="420"/>
      </w:pPr>
      <w:r>
        <w:t>负面媒体筛查（不良新闻筛查）指识别公开可得信息，将个人或实体与金融犯罪风险联系起来</w:t>
      </w:r>
      <w:r>
        <w:rPr>
          <w:sz w:val="15"/>
          <w:vertAlign w:val="superscript"/>
        </w:rPr>
        <w:t>P322</w:t>
      </w:r>
      <w:r>
        <w:t>。其审查对象包括客户、受益所有人、股东或关联方的负面新闻，如监管罚款或调查</w:t>
      </w:r>
      <w:r>
        <w:rPr>
          <w:sz w:val="15"/>
          <w:vertAlign w:val="superscript"/>
        </w:rPr>
        <w:t>P329</w:t>
      </w:r>
      <w:r>
        <w:t>。B项“识别与犯罪活动或制裁有关的个人或实体”正是筛查公开信息中与犯罪、制裁的关联，直接落入定义范围。C项“定期监测关联实体的监管更新和执法行动”对应审查监管调查与执法行动等负面新闻内容</w:t>
      </w:r>
      <w:r>
        <w:rPr>
          <w:sz w:val="15"/>
          <w:vertAlign w:val="superscript"/>
        </w:rPr>
        <w:t>P322</w:t>
      </w:r>
      <w:r>
        <w:t>，是负面媒体筛查的目的之一。D项“检索公开发布的新闻报道和监管警报”是筛查的具体操作方式——通过开源搜索新闻文章、公共记录和监管警报</w:t>
      </w:r>
      <w:r>
        <w:rPr>
          <w:sz w:val="15"/>
          <w:vertAlign w:val="superscript"/>
        </w:rPr>
        <w:t>P334，P337</w:t>
      </w:r>
      <w:r>
        <w:t>。三项均属不良媒体筛查的组成部分。</w:t>
      </w:r>
    </w:p>
    <w:p>
      <w:pPr>
        <w:spacing w:before="120" w:after="40"/>
      </w:pPr>
      <w:r>
        <w:rPr>
          <w:b/>
          <w:sz w:val="21"/>
          <w:shd w:fill="D6E4F0" w:val="clear"/>
        </w:rPr>
        <w:t>教材原句</w:t>
      </w:r>
    </w:p>
    <w:p>
      <w:pPr>
        <w:spacing w:line="360" w:lineRule="auto" w:after="40"/>
        <w:ind w:firstLine="420"/>
      </w:pPr>
      <w:r>
        <w:t>"Adverse media checks—also known as negative news screening— identify publicly available information linking individuals or entities to financial crime risks."</w:t>
      </w:r>
    </w:p>
    <w:p>
      <w:pPr>
        <w:spacing w:before="120" w:after="40"/>
      </w:pPr>
      <w:r>
        <w:rPr>
          <w:b/>
          <w:sz w:val="21"/>
          <w:shd w:fill="D6E4F0" w:val="clear"/>
        </w:rPr>
        <w:t>A项错误</w:t>
      </w:r>
    </w:p>
    <w:p>
      <w:pPr>
        <w:spacing w:line="360" w:lineRule="auto" w:after="40"/>
        <w:ind w:firstLine="420"/>
      </w:pPr>
      <w:r>
        <w:t>教材将负面媒体筛查界定为审查外部公开信息中的负面新闻和风险关联</w:t>
      </w:r>
      <w:r>
        <w:rPr>
          <w:sz w:val="15"/>
          <w:vertAlign w:val="superscript"/>
        </w:rPr>
        <w:t>P322、P329</w:t>
      </w:r>
      <w:r>
        <w:t>，而“分析客户情绪”属于内部反馈与调查范畴，与公开负面新闻的筛查对象不同。正确项更直接匹配教材定义的核心要素。</w:t>
      </w:r>
    </w:p>
    <w:p>
      <w:pPr>
        <w:spacing w:before="120" w:after="40"/>
      </w:pPr>
      <w:r>
        <w:rPr>
          <w:b/>
          <w:sz w:val="21"/>
          <w:shd w:fill="D6E4F0" w:val="clear"/>
        </w:rPr>
        <w:t>E项错误</w:t>
      </w:r>
    </w:p>
    <w:p>
      <w:pPr>
        <w:spacing w:line="360" w:lineRule="auto" w:after="40"/>
        <w:ind w:firstLine="420"/>
      </w:pPr>
      <w:r>
        <w:t>监测信用评分变化在教材中仅作为员工背景调查的一项示例出现</w:t>
      </w:r>
      <w:r>
        <w:rPr>
          <w:sz w:val="15"/>
          <w:vertAlign w:val="superscript"/>
        </w:rPr>
        <w:t>P324</w:t>
      </w:r>
      <w:r>
        <w:t>，而非负面媒体筛查的组成部分。负面媒体筛查聚焦于犯罪活动、制裁、监管行动等公开负面信息，信用评分不涉及这些内容，因此与题干所问的不良媒体筛查匹配度不如B、C、D。</w:t>
      </w:r>
    </w:p>
    <w:p>
      <w:pPr>
        <w:spacing w:line="360" w:lineRule="auto" w:after="120"/>
      </w:pPr>
      <w:r/>
    </w:p>
    <w:p>
      <w:pPr>
        <w:spacing w:line="360" w:lineRule="auto" w:after="40"/>
      </w:pPr>
      <w:r>
        <w:t>4. Which risk factors are associated with acquiring and servicing the banking activities of customers considered higher risk for financial crime activities? (Select Three.) ( )</w:t>
      </w:r>
    </w:p>
    <w:p>
      <w:pPr>
        <w:spacing w:line="360" w:lineRule="auto" w:after="20"/>
        <w:ind w:firstLine="283"/>
      </w:pPr>
      <w:r>
        <w:t>A. Reputational risk</w:t>
      </w:r>
    </w:p>
    <w:p>
      <w:pPr>
        <w:spacing w:line="360" w:lineRule="auto" w:after="20"/>
        <w:ind w:firstLine="283"/>
      </w:pPr>
      <w:r>
        <w:t>B. Operational risk</w:t>
      </w:r>
    </w:p>
    <w:p>
      <w:pPr>
        <w:spacing w:line="360" w:lineRule="auto" w:after="20"/>
        <w:ind w:firstLine="283"/>
      </w:pPr>
      <w:r>
        <w:t>C. Sanctions risk</w:t>
      </w:r>
    </w:p>
    <w:p>
      <w:pPr>
        <w:spacing w:line="360" w:lineRule="auto" w:after="20"/>
        <w:ind w:firstLine="283"/>
      </w:pPr>
      <w:r>
        <w:t>D. Compliance risk</w:t>
      </w:r>
    </w:p>
    <w:p>
      <w:pPr>
        <w:spacing w:line="360" w:lineRule="auto" w:after="20"/>
        <w:ind w:firstLine="283"/>
      </w:pPr>
      <w:r>
        <w:t>E. Lending risk</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区分高风险客户带来的声誉风险、制裁风险与合规风险</w:t>
      </w:r>
    </w:p>
    <w:p>
      <w:pPr>
        <w:spacing w:before="120" w:after="40"/>
      </w:pPr>
      <w:r>
        <w:rPr>
          <w:b/>
          <w:sz w:val="21"/>
          <w:shd w:fill="D6E4F0" w:val="clear"/>
        </w:rPr>
        <w:t>核心解析</w:t>
      </w:r>
    </w:p>
    <w:p>
      <w:pPr>
        <w:spacing w:line="360" w:lineRule="auto" w:after="40"/>
        <w:ind w:firstLine="420"/>
      </w:pPr>
      <w:r>
        <w:t>教材在负面媒体筛查语境下指出，客户可能因负面媒体曝光、刑事指控或监管调查而带来更高的金融犯罪风险或声誉风险</w:t>
      </w:r>
      <w:r>
        <w:rPr>
          <w:sz w:val="15"/>
          <w:vertAlign w:val="superscript"/>
        </w:rPr>
        <w:t>P322</w:t>
      </w:r>
      <w:r>
        <w:t>，由此可知“声誉风险”是高风险客户直接关联的风险类型。同时，在受制裁国家经营或进行相关跨境交易的客户面临更高司法管辖区风险和制裁相关风险</w:t>
      </w:r>
      <w:r>
        <w:rPr>
          <w:sz w:val="15"/>
          <w:vertAlign w:val="superscript"/>
        </w:rPr>
        <w:t>P73、P138</w:t>
      </w:r>
      <w:r>
        <w:t>，“制裁风险”同样是获取和服务该类客户时需要考量的因素。此外，教材在去风险化讨论中明确，机构可能回避带来合规风险的客户，因为这类风险可能危及其监管义务</w:t>
      </w:r>
      <w:r>
        <w:rPr>
          <w:sz w:val="15"/>
          <w:vertAlign w:val="superscript"/>
        </w:rPr>
        <w:t>P365</w:t>
      </w:r>
      <w:r>
        <w:t>，说明“合规风险”也是与高风险客户直接相关的风险类别。三项分别从声誉、制裁、合规三个维度覆盖了金融犯罪高风险客户可能引发的风险，与题干要求匹配。操作风险源于内部流程、人员、系统或外部事件的失败</w:t>
      </w:r>
      <w:r>
        <w:rPr>
          <w:sz w:val="15"/>
          <w:vertAlign w:val="superscript"/>
        </w:rPr>
        <w:t>P243</w:t>
      </w:r>
      <w:r>
        <w:t>，更偏机构内部运营，而非客户自身特性带来的金融犯罪风险；贷款风险属于信用风险范畴</w:t>
      </w:r>
      <w:r>
        <w:rPr>
          <w:sz w:val="15"/>
          <w:vertAlign w:val="superscript"/>
        </w:rPr>
        <w:t>P77</w:t>
      </w:r>
      <w:r>
        <w:t>，不属于金融犯罪风险因素。因此 A、C、D 正确。</w:t>
      </w:r>
    </w:p>
    <w:p>
      <w:pPr>
        <w:spacing w:before="120" w:after="40"/>
      </w:pPr>
      <w:r>
        <w:rPr>
          <w:b/>
          <w:sz w:val="21"/>
          <w:shd w:fill="D6E4F0" w:val="clear"/>
        </w:rPr>
        <w:t>教材原句</w:t>
      </w:r>
    </w:p>
    <w:p>
      <w:pPr>
        <w:spacing w:line="360" w:lineRule="auto" w:after="40"/>
        <w:ind w:firstLine="420"/>
      </w:pPr>
      <w:r>
        <w:t>"Identify emerging risks: Customers might pose higher financial crime risks or reputational risks due to negative media exposure, criminal allegations, or regulatory investigations."</w:t>
      </w:r>
    </w:p>
    <w:p>
      <w:pPr>
        <w:spacing w:before="120" w:after="40"/>
      </w:pPr>
      <w:r>
        <w:rPr>
          <w:b/>
          <w:sz w:val="21"/>
          <w:shd w:fill="D6E4F0" w:val="clear"/>
        </w:rPr>
        <w:t>B项错误</w:t>
      </w:r>
    </w:p>
    <w:p>
      <w:pPr>
        <w:spacing w:line="360" w:lineRule="auto" w:after="40"/>
        <w:ind w:firstLine="420"/>
      </w:pPr>
      <w:r>
        <w:t>操作风险源于内部流程、人员、系统或外部事件的失败</w:t>
      </w:r>
      <w:r>
        <w:rPr>
          <w:sz w:val="15"/>
          <w:vertAlign w:val="superscript"/>
        </w:rPr>
        <w:t>P243</w:t>
      </w:r>
      <w:r>
        <w:t>，是机构内部运营层面的风险，而非直接由客户自身的金融犯罪特性引发。题干问的是与高风险客户本身关联的风险，相比之下正确项 A、C、D 更直接对应客户特征带来的风险。</w:t>
      </w:r>
    </w:p>
    <w:p>
      <w:pPr>
        <w:spacing w:before="120" w:after="40"/>
      </w:pPr>
      <w:r>
        <w:rPr>
          <w:b/>
          <w:sz w:val="21"/>
          <w:shd w:fill="D6E4F0" w:val="clear"/>
        </w:rPr>
        <w:t>E项错误</w:t>
      </w:r>
    </w:p>
    <w:p>
      <w:pPr>
        <w:spacing w:line="360" w:lineRule="auto" w:after="40"/>
        <w:ind w:firstLine="420"/>
      </w:pPr>
      <w:r>
        <w:t>贷款风险属于信用风险，指借款人违约可能导致的损失</w:t>
      </w:r>
      <w:r>
        <w:rPr>
          <w:sz w:val="15"/>
          <w:vertAlign w:val="superscript"/>
        </w:rPr>
        <w:t>P77</w:t>
      </w:r>
      <w:r>
        <w:t>，并非金融犯罪风险类别。题干聚焦于金融犯罪活动相关的风险因素，正确项均在此框架内，而贷款风险与金融犯罪风险无直接对应关系，教材也未曾将其列为该类客户的关键风险。</w:t>
      </w:r>
    </w:p>
    <w:p>
      <w:pPr>
        <w:spacing w:before="120" w:after="40"/>
      </w:pPr>
      <w:r>
        <w:rPr>
          <w:b/>
          <w:sz w:val="21"/>
          <w:shd w:fill="D6E4F0" w:val="clear"/>
        </w:rPr>
        <w:t>易错提醒</w:t>
      </w:r>
    </w:p>
    <w:p>
      <w:pPr>
        <w:spacing w:line="360" w:lineRule="auto" w:after="40"/>
        <w:ind w:firstLine="420"/>
      </w:pPr>
      <w:r>
        <w:t>操作风险与合规风险易混淆。教材清晰区分：操作风险来自内部流程、人员、系统或外部事件</w:t>
      </w:r>
      <w:r>
        <w:rPr>
          <w:sz w:val="15"/>
          <w:vertAlign w:val="superscript"/>
        </w:rPr>
        <w:t>P243</w:t>
      </w:r>
      <w:r>
        <w:t>，是“如何做”的失败；合规风险是因未遵守法律法规而产生诉讼或处罚的风险</w:t>
      </w:r>
      <w:r>
        <w:rPr>
          <w:sz w:val="15"/>
          <w:vertAlign w:val="superscript"/>
        </w:rPr>
        <w:t>P243</w:t>
      </w:r>
      <w:r>
        <w:t>，是“该不该做”的问题。高风险客户主要带来合规风险，而非操作风险。</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