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 (EN)</w:t>
      </w:r>
    </w:p>
    <w:p>
      <w:pPr>
        <w:spacing w:line="360" w:lineRule="auto" w:after="160"/>
      </w:pPr>
      <w:r>
        <w:t>一、单项选择题</w:t>
      </w:r>
    </w:p>
    <w:p>
      <w:pPr>
        <w:spacing w:line="360" w:lineRule="auto" w:after="40"/>
      </w:pPr>
      <w:r>
        <w:t>1. During customer due diligence, an insurance company discovers that the policyholder's business address and the ultimate beneficial owner (UBO) changed two weeks ago. What actions should be taken immediately? ( )</w:t>
      </w:r>
    </w:p>
    <w:p>
      <w:pPr>
        <w:spacing w:line="360" w:lineRule="auto" w:after="20"/>
        <w:ind w:firstLine="283"/>
      </w:pPr>
      <w:r>
        <w:t>A. Investigate the changes of address and change of UBO and in the meantime decline payment and withdrawal instructions from the policy until completion of the investigation and next steps are agreed upon</w:t>
      </w:r>
    </w:p>
    <w:p>
      <w:pPr>
        <w:spacing w:line="360" w:lineRule="auto" w:after="20"/>
        <w:ind w:firstLine="283"/>
      </w:pPr>
      <w:r>
        <w:t>B. Request the relationship manager set up a meeting with the policyholder to update their address and submit details of the new UBO in the name of good customer service</w:t>
      </w:r>
    </w:p>
    <w:p>
      <w:pPr>
        <w:spacing w:line="360" w:lineRule="auto" w:after="20"/>
        <w:ind w:firstLine="283"/>
      </w:pPr>
      <w:r>
        <w:t>C. Investigate the changes of address and change of UBO and in the meantime freeze the client's policy</w:t>
      </w:r>
    </w:p>
    <w:p>
      <w:pPr>
        <w:spacing w:line="360" w:lineRule="auto" w:after="20"/>
        <w:ind w:firstLine="283"/>
      </w:pPr>
      <w:r>
        <w:t>D. File a suspicious transaction report because the insurance company was not made aware of the business's change of UBO</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事件驱动KYC审查中，调查期间应采取暂停支付的临时管控措施</w:t>
      </w:r>
    </w:p>
    <w:p>
      <w:pPr>
        <w:spacing w:before="120" w:after="40"/>
      </w:pPr>
      <w:r>
        <w:rPr>
          <w:b/>
          <w:sz w:val="21"/>
          <w:shd w:fill="D6E4F0" w:val="clear"/>
        </w:rPr>
        <w:t>核心解析</w:t>
      </w:r>
    </w:p>
    <w:p>
      <w:pPr>
        <w:spacing w:line="360" w:lineRule="auto" w:after="40"/>
        <w:ind w:firstLine="420"/>
      </w:pPr>
      <w:r>
        <w:t>持续尽职调查包括触发事件审查，当客户关键信息（如地址、UBO）发生变更时，需启动事件驱动的KYC审查</w:t>
      </w:r>
      <w:r>
        <w:rPr>
          <w:sz w:val="15"/>
          <w:vertAlign w:val="superscript"/>
        </w:rPr>
        <w:t>P315、P406</w:t>
      </w:r>
      <w:r>
        <w:t>。教材指出，支付筛查若检测到风险匹配，相关交易应被暂停并扣留，直至调查完成</w:t>
      </w:r>
      <w:r>
        <w:rPr>
          <w:sz w:val="15"/>
          <w:vertAlign w:val="superscript"/>
        </w:rPr>
        <w:t>P329</w:t>
      </w:r>
      <w:r>
        <w:t>；同时，机构应冻结支付并上报以确定进一步的步骤</w:t>
      </w:r>
      <w:r>
        <w:rPr>
          <w:sz w:val="15"/>
          <w:vertAlign w:val="superscript"/>
        </w:rPr>
        <w:t>P307</w:t>
      </w:r>
      <w:r>
        <w:t>。本题中，投保人的经营地址和UBO均发生变更，触发事件审查机制。立即采取的行动应为调查这些变更，并在调查完成并商定下一步措施前，拒绝处理保单的付款与提款指令，这与教材所述调查期间暂停高风险交易的原则一致。</w:t>
      </w:r>
    </w:p>
    <w:p>
      <w:pPr>
        <w:spacing w:before="120" w:after="40"/>
      </w:pPr>
      <w:r>
        <w:rPr>
          <w:b/>
          <w:sz w:val="21"/>
          <w:shd w:fill="D6E4F0" w:val="clear"/>
        </w:rPr>
        <w:t>教材原句</w:t>
      </w:r>
    </w:p>
    <w:p>
      <w:pPr>
        <w:spacing w:line="360" w:lineRule="auto" w:after="40"/>
        <w:ind w:firstLine="420"/>
      </w:pPr>
      <w:r>
        <w:t>"Payment or transaction screening reviews payments made and received by customers. It reviews payments made to or from parties on sanctions lists. If a match is detected, it is stopped and held until investigations are complete."</w:t>
      </w:r>
    </w:p>
    <w:p>
      <w:pPr>
        <w:spacing w:before="120" w:after="40"/>
      </w:pPr>
      <w:r>
        <w:rPr>
          <w:b/>
          <w:sz w:val="21"/>
          <w:shd w:fill="D6E4F0" w:val="clear"/>
        </w:rPr>
        <w:t>B项错误</w:t>
      </w:r>
    </w:p>
    <w:p>
      <w:pPr>
        <w:spacing w:line="360" w:lineRule="auto" w:after="40"/>
        <w:ind w:firstLine="420"/>
      </w:pPr>
      <w:r>
        <w:t>教材提到客户经理可联系客户获取KYC补充信息</w:t>
      </w:r>
      <w:r>
        <w:rPr>
          <w:sz w:val="15"/>
          <w:vertAlign w:val="superscript"/>
        </w:rPr>
        <w:t>P339</w:t>
      </w:r>
      <w:r>
        <w:t>，但以“优质客户服务的名义”更新信息，存在规避合规流程、向客户透露调查意图的风险，违反了保密和不得通风报信的原则</w:t>
      </w:r>
      <w:r>
        <w:rPr>
          <w:sz w:val="15"/>
          <w:vertAlign w:val="superscript"/>
        </w:rPr>
        <w:t>P339</w:t>
      </w:r>
      <w:r>
        <w:t>。与A相比，正式调查并暂停支付更直接匹配事件触发审查后的法定管控措施。</w:t>
      </w:r>
    </w:p>
    <w:p>
      <w:pPr>
        <w:spacing w:before="120" w:after="40"/>
      </w:pPr>
      <w:r>
        <w:rPr>
          <w:b/>
          <w:sz w:val="21"/>
          <w:shd w:fill="D6E4F0" w:val="clear"/>
        </w:rPr>
        <w:t>C项错误</w:t>
      </w:r>
    </w:p>
    <w:p>
      <w:pPr>
        <w:spacing w:line="360" w:lineRule="auto" w:after="40"/>
        <w:ind w:firstLine="420"/>
      </w:pPr>
      <w:r>
        <w:t>“冻结保单”与A的“拒绝处理付款和提款”在措施幅度上存在差异。教材框架下，调查期间对资金流动采取临时性限制（P329“stopped and held”）更贴合比例原则，完全冻结保单的匹配度不如有针对性的支付管控。</w:t>
      </w:r>
    </w:p>
    <w:p>
      <w:pPr>
        <w:spacing w:before="120" w:after="40"/>
      </w:pPr>
      <w:r>
        <w:rPr>
          <w:b/>
          <w:sz w:val="21"/>
          <w:shd w:fill="D6E4F0" w:val="clear"/>
        </w:rPr>
        <w:t>D项错误</w:t>
      </w:r>
    </w:p>
    <w:p>
      <w:pPr>
        <w:spacing w:line="360" w:lineRule="auto" w:after="40"/>
        <w:ind w:firstLine="420"/>
      </w:pPr>
      <w:r>
        <w:t>P357规定提交可疑交易报告需以发现可疑活动为前提。题干仅显示地址和UBO在KYC更新中被发现变更，尚未完成调查确认是否存在可疑活动，直接提交SAR缺乏充分的证据基础，匹配度不如先调查再决策。</w:t>
      </w:r>
    </w:p>
    <w:p>
      <w:pPr>
        <w:spacing w:before="120" w:after="40"/>
      </w:pPr>
      <w:r>
        <w:rPr>
          <w:b/>
          <w:sz w:val="21"/>
          <w:shd w:fill="D6E4F0" w:val="clear"/>
        </w:rPr>
        <w:t>易错提醒</w:t>
      </w:r>
    </w:p>
    <w:p>
      <w:pPr>
        <w:spacing w:line="360" w:lineRule="auto" w:after="40"/>
        <w:ind w:firstLine="420"/>
      </w:pPr>
      <w:r>
        <w:t>KYC信息变更本身不等同于可疑活动，不应立即提交SAR。应先调查变更原因</w:t>
      </w:r>
      <w:r>
        <w:rPr>
          <w:sz w:val="15"/>
          <w:vertAlign w:val="superscript"/>
        </w:rPr>
        <w:t>P315</w:t>
      </w:r>
      <w:r>
        <w:t>，调查期间可暂停支付</w:t>
      </w:r>
      <w:r>
        <w:rPr>
          <w:sz w:val="15"/>
          <w:vertAlign w:val="superscript"/>
        </w:rPr>
        <w:t>P329</w:t>
      </w:r>
      <w:r>
        <w:t>，待调查结论形成后再决定是否提交SAR</w:t>
      </w:r>
      <w:r>
        <w:rPr>
          <w:sz w:val="15"/>
          <w:vertAlign w:val="superscript"/>
        </w:rPr>
        <w:t>P357</w:t>
      </w:r>
      <w:r>
        <w:t>。同时注意“暂停支付”与“完全冻结账户或保单”的区别，前者是临时性、有针对性的管控措施。</w:t>
      </w:r>
    </w:p>
    <w:p>
      <w:pPr>
        <w:spacing w:line="360" w:lineRule="auto" w:after="120"/>
      </w:pPr>
      <w:r/>
    </w:p>
    <w:p>
      <w:pPr>
        <w:spacing w:line="360" w:lineRule="auto" w:after="40"/>
      </w:pPr>
      <w:r>
        <w:t>2. Which of the following are important AML controls for a compliance manager of a regulated asset management company in the European Union to implement? (Select Two.) ( )</w:t>
      </w:r>
    </w:p>
    <w:p>
      <w:pPr>
        <w:spacing w:line="360" w:lineRule="auto" w:after="20"/>
        <w:ind w:firstLine="283"/>
      </w:pPr>
      <w:r>
        <w:t>A. Inviting prospective customers for an onboarding interview</w:t>
      </w:r>
    </w:p>
    <w:p>
      <w:pPr>
        <w:spacing w:line="360" w:lineRule="auto" w:after="20"/>
        <w:ind w:firstLine="283"/>
      </w:pPr>
      <w:r>
        <w:t>B. Rejecting any politically exposed persons (PEPs) as customers</w:t>
      </w:r>
    </w:p>
    <w:p>
      <w:pPr>
        <w:spacing w:line="360" w:lineRule="auto" w:after="20"/>
        <w:ind w:firstLine="283"/>
      </w:pPr>
      <w:r>
        <w:t>C. Understanding the source and origin of assets</w:t>
      </w:r>
    </w:p>
    <w:p>
      <w:pPr>
        <w:spacing w:line="360" w:lineRule="auto" w:after="20"/>
        <w:ind w:firstLine="283"/>
      </w:pPr>
      <w:r>
        <w:t>D. Performing negative news checks of prospective customers</w:t>
      </w:r>
    </w:p>
    <w:p>
      <w:pPr>
        <w:spacing w:line="360" w:lineRule="auto" w:after="20"/>
        <w:ind w:firstLine="283"/>
      </w:pPr>
      <w:r>
        <w:t>E. Producing financial stability reports on key customers</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识别资产管理公司核心反洗钱尽职调查措施</w:t>
      </w:r>
    </w:p>
    <w:p>
      <w:pPr>
        <w:spacing w:before="120" w:after="40"/>
      </w:pPr>
      <w:r>
        <w:rPr>
          <w:b/>
          <w:sz w:val="21"/>
          <w:shd w:fill="D6E4F0" w:val="clear"/>
        </w:rPr>
        <w:t>核心解析</w:t>
      </w:r>
    </w:p>
    <w:p>
      <w:pPr>
        <w:spacing w:line="360" w:lineRule="auto" w:after="40"/>
        <w:ind w:firstLine="420"/>
      </w:pPr>
      <w:r>
        <w:t>资产管理公司作为受监管实体，其反洗钱控制措施的核心在于对客户及其资产进行风险识别与评估。负面新闻筛查（Adverse Media Screening）指审查客户、受益所有人、股东或关联方的负面新闻，如监管罚款或调查</w:t>
      </w:r>
      <w:r>
        <w:rPr>
          <w:sz w:val="15"/>
          <w:vertAlign w:val="superscript"/>
        </w:rPr>
        <w:t>P329</w:t>
      </w:r>
      <w:r>
        <w:t>。了解资产来源与出处（Source of Funds/Source of Wealth）是客户尽职调查（CDD）及强化尽职调查（EDD）的基础要求，CDD阶段需收集资金来源和交易活动信息</w:t>
      </w:r>
      <w:r>
        <w:rPr>
          <w:sz w:val="15"/>
          <w:vertAlign w:val="superscript"/>
        </w:rPr>
        <w:t>P309</w:t>
      </w:r>
      <w:r>
        <w:t>，EDD阶段更需进行全面的财富和资金来源验证</w:t>
      </w:r>
      <w:r>
        <w:rPr>
          <w:sz w:val="15"/>
          <w:vertAlign w:val="superscript"/>
        </w:rPr>
        <w:t>P311</w:t>
      </w:r>
      <w:r>
        <w:t>。题干中，合规经理需针对“受监管资产管理公司”这一场景实施反洗钱控制。选项C直接对应教材定义的尽职调查核心动作，即核实资产来源；选项D直接对应教材列举的筛查类型之一，即在准入及持续阶段进行的负面新闻审查。两者共同构成风险为本反洗钱程序中识别与评估环节的关键支撑。</w:t>
      </w:r>
    </w:p>
    <w:p>
      <w:pPr>
        <w:spacing w:before="120" w:after="40"/>
      </w:pPr>
      <w:r>
        <w:rPr>
          <w:b/>
          <w:sz w:val="21"/>
          <w:shd w:fill="D6E4F0" w:val="clear"/>
        </w:rPr>
        <w:t>教材原句</w:t>
      </w:r>
    </w:p>
    <w:p>
      <w:pPr>
        <w:spacing w:line="360" w:lineRule="auto" w:after="40"/>
        <w:ind w:firstLine="420"/>
      </w:pPr>
      <w:r>
        <w:t>"Adverse media screening reviews negative news about a customer, beneficial owner, shareholder, or associated party, such as regulatory fines or investigations."</w:t>
      </w:r>
    </w:p>
    <w:p>
      <w:pPr>
        <w:spacing w:before="120" w:after="40"/>
      </w:pPr>
      <w:r>
        <w:rPr>
          <w:b/>
          <w:sz w:val="21"/>
          <w:shd w:fill="D6E4F0" w:val="clear"/>
        </w:rPr>
        <w:t>A项错误</w:t>
      </w:r>
    </w:p>
    <w:p>
      <w:pPr>
        <w:spacing w:line="360" w:lineRule="auto" w:after="40"/>
        <w:ind w:firstLine="420"/>
      </w:pPr>
      <w:r>
        <w:t>客户提供静态数据（包括姓名、地址等KYC信息）是客户准入环节中的基础动作</w:t>
      </w:r>
      <w:r>
        <w:rPr>
          <w:sz w:val="15"/>
          <w:vertAlign w:val="superscript"/>
        </w:rPr>
        <w:t>P467</w:t>
      </w:r>
      <w:r>
        <w:t>，面谈虽可能是获取这些信息的方式之一，但教材在列举对资产管理公司的反洗钱重要控制时，更强调具体的审查机制（如负面新闻筛查）和核实动作（如了解资金来源），而非获取信息的具体组织形式。题干未提供足够要素支持将“面谈”本身视为一项独立的、足以与前两者并列的重要反洗钱控制措施。</w:t>
      </w:r>
    </w:p>
    <w:p>
      <w:pPr>
        <w:spacing w:before="120" w:after="40"/>
      </w:pPr>
      <w:r>
        <w:rPr>
          <w:b/>
          <w:sz w:val="21"/>
          <w:shd w:fill="D6E4F0" w:val="clear"/>
        </w:rPr>
        <w:t>B项错误</w:t>
      </w:r>
    </w:p>
    <w:p>
      <w:pPr>
        <w:spacing w:line="360" w:lineRule="auto" w:after="40"/>
        <w:ind w:firstLine="420"/>
      </w:pPr>
      <w:r>
        <w:t>教材将政治公众人物归为需要“仔细风险评估”的高风险客户</w:t>
      </w:r>
      <w:r>
        <w:rPr>
          <w:sz w:val="15"/>
          <w:vertAlign w:val="superscript"/>
        </w:rPr>
        <w:t>P104</w:t>
      </w:r>
      <w:r>
        <w:t>，并规定机构在与其建立业务关系时，需获得高级管理层批准并验证其财富和资金来源</w:t>
      </w:r>
      <w:r>
        <w:rPr>
          <w:sz w:val="15"/>
          <w:vertAlign w:val="superscript"/>
        </w:rPr>
        <w:t>P148</w:t>
      </w:r>
      <w:r>
        <w:t>。拒绝所有政治公众人物与教材中的“风险为本”原则不直接匹配，管控手段的重点在于识别和强化尽调，而非一概禁止。因此，在教材框架下，选项C和D所代表的核实与筛查风险比绝对拒绝更吻合风险管理的核心逻辑。</w:t>
      </w:r>
    </w:p>
    <w:p>
      <w:pPr>
        <w:spacing w:before="120" w:after="40"/>
      </w:pPr>
      <w:r>
        <w:rPr>
          <w:b/>
          <w:sz w:val="21"/>
          <w:shd w:fill="D6E4F0" w:val="clear"/>
        </w:rPr>
        <w:t>E项错误</w:t>
      </w:r>
    </w:p>
    <w:p>
      <w:pPr>
        <w:spacing w:line="360" w:lineRule="auto" w:after="40"/>
        <w:ind w:firstLine="420"/>
      </w:pPr>
      <w:r>
        <w:t>教材在讨论国际证监会组织（IOSCO）的目标时提及“促进金融稳定”</w:t>
      </w:r>
      <w:r>
        <w:rPr>
          <w:sz w:val="15"/>
          <w:vertAlign w:val="superscript"/>
        </w:rPr>
        <w:t>P170</w:t>
      </w:r>
      <w:r>
        <w:t>，但将其列为监管机构管理系统性风险的宏观职责，而非资产管理公司内部以客户为单位的反洗钱操作流程。在下游反洗钱调查场景中，程序导向的是资金来源评估和负面新闻筛查，而非针对重点客户编制财务健康分析报告。因此，此项在实施目标上不如C和D那样直接匹配资产管理公司的反洗钱尽职调查框架。</w:t>
      </w:r>
    </w:p>
    <w:p>
      <w:pPr>
        <w:spacing w:before="120" w:after="40"/>
      </w:pPr>
      <w:r>
        <w:rPr>
          <w:b/>
          <w:sz w:val="21"/>
          <w:shd w:fill="D6E4F0" w:val="clear"/>
        </w:rPr>
        <w:t>易错提醒</w:t>
      </w:r>
    </w:p>
    <w:p>
      <w:pPr>
        <w:spacing w:line="360" w:lineRule="auto" w:after="40"/>
        <w:ind w:firstLine="420"/>
      </w:pPr>
      <w:r>
        <w:t>注意区分“一概拒绝政治公众人物”与“对政治公众人物实施强化尽职调查”。教材框架下，政治公众人物并非禁止服务对象，而是必须采取更严格核查措施的高风险客户</w:t>
      </w:r>
      <w:r>
        <w:rPr>
          <w:sz w:val="15"/>
          <w:vertAlign w:val="superscript"/>
        </w:rPr>
        <w:t>P148</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