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CH11 (EN)</w:t>
      </w:r>
    </w:p>
    <w:p>
      <w:pPr>
        <w:spacing w:line="360" w:lineRule="auto" w:after="160"/>
      </w:pPr>
      <w:r>
        <w:t>一、单项选择题</w:t>
      </w:r>
    </w:p>
    <w:p>
      <w:pPr>
        <w:spacing w:line="360" w:lineRule="auto" w:after="40"/>
      </w:pPr>
      <w:r>
        <w:t>1. A high volume of incoming wire transfers generates an alert about a client. The funds are immediately debited by cash withdrawals and outgoing wire transfers. Which information should be reviewed first to investigate this alert or case? ( )</w:t>
      </w:r>
    </w:p>
    <w:p>
      <w:pPr>
        <w:spacing w:line="360" w:lineRule="auto" w:after="20"/>
        <w:ind w:firstLine="283"/>
      </w:pPr>
      <w:r>
        <w:t>A. Open source information</w:t>
      </w:r>
    </w:p>
    <w:p>
      <w:pPr>
        <w:spacing w:line="360" w:lineRule="auto" w:after="20"/>
        <w:ind w:firstLine="283"/>
      </w:pPr>
      <w:r>
        <w:t>B. Customer profile</w:t>
      </w:r>
    </w:p>
    <w:p>
      <w:pPr>
        <w:spacing w:line="360" w:lineRule="auto" w:after="20"/>
        <w:ind w:firstLine="283"/>
      </w:pPr>
      <w:r>
        <w:t>C. Adverse media search</w:t>
      </w:r>
    </w:p>
    <w:p>
      <w:pPr>
        <w:spacing w:line="360" w:lineRule="auto" w:after="20"/>
        <w:ind w:firstLine="283"/>
      </w:pPr>
      <w:r>
        <w:t>D. Account activity</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警报调查首步：审查客户概况以评估活动是否偏离预期行为模式</w:t>
      </w:r>
    </w:p>
    <w:p>
      <w:pPr>
        <w:spacing w:before="120" w:after="40"/>
      </w:pPr>
      <w:r>
        <w:rPr>
          <w:b/>
          <w:sz w:val="21"/>
          <w:shd w:fill="D6E4F0" w:val="clear"/>
        </w:rPr>
        <w:t>核心解析</w:t>
      </w:r>
    </w:p>
    <w:p>
      <w:pPr>
        <w:spacing w:line="360" w:lineRule="auto" w:after="40"/>
        <w:ind w:firstLine="420"/>
      </w:pPr>
      <w:r>
        <w:t>一级审查阶段，分析师通过评估警报性质、交易类型、客户资料、账户历史等数据点检查警报的有效性</w:t>
      </w:r>
      <w:r>
        <w:rPr>
          <w:sz w:val="15"/>
          <w:vertAlign w:val="superscript"/>
        </w:rPr>
        <w:t>P334</w:t>
      </w:r>
      <w:r>
        <w:t>，这一分析的核心是判断当前活动是否与“预期的客户行为模式”相符</w:t>
      </w:r>
      <w:r>
        <w:rPr>
          <w:sz w:val="15"/>
          <w:vertAlign w:val="superscript"/>
        </w:rPr>
        <w:t>P334</w:t>
      </w:r>
      <w:r>
        <w:t>。客户概况正是记录客户预期行为、风险因素和历史行为的KYC数据</w:t>
      </w:r>
      <w:r>
        <w:rPr>
          <w:sz w:val="15"/>
          <w:vertAlign w:val="superscript"/>
        </w:rPr>
        <w:t>P337</w:t>
      </w:r>
      <w:r>
        <w:t>。题干中警报由大量汇入电汇并迅速通过现金和电汇转出而触发，要判断其是否可疑，必须先查阅客户概况，以明确该账户的正常用途与预期交易模式，再将实际活动与之比对。因此，调查警报时应首先审查客户概况。</w:t>
      </w:r>
    </w:p>
    <w:p>
      <w:pPr>
        <w:spacing w:before="120" w:after="40"/>
      </w:pPr>
      <w:r>
        <w:rPr>
          <w:b/>
          <w:sz w:val="21"/>
          <w:shd w:fill="D6E4F0" w:val="clear"/>
        </w:rPr>
        <w:t>教材原句</w:t>
      </w:r>
    </w:p>
    <w:p>
      <w:pPr>
        <w:spacing w:line="360" w:lineRule="auto" w:after="40"/>
        <w:ind w:firstLine="420"/>
      </w:pPr>
      <w:r>
        <w:t>"An analyst examines the alert’s validity by evaluating various data points, including the alert's nature, transaction type, customer profile, account history, and previous alert history."</w:t>
      </w:r>
    </w:p>
    <w:p>
      <w:pPr>
        <w:spacing w:before="120" w:after="40"/>
      </w:pPr>
      <w:r>
        <w:rPr>
          <w:b/>
          <w:sz w:val="21"/>
          <w:shd w:fill="D6E4F0" w:val="clear"/>
        </w:rPr>
        <w:t>A项错误</w:t>
      </w:r>
    </w:p>
    <w:p>
      <w:pPr>
        <w:spacing w:line="360" w:lineRule="auto" w:after="40"/>
        <w:ind w:firstLine="420"/>
      </w:pPr>
      <w:r>
        <w:t>开源信息属于外部信息，教材将其列为二级审查或后续调查中才收集的对象</w:t>
      </w:r>
      <w:r>
        <w:rPr>
          <w:sz w:val="15"/>
          <w:vertAlign w:val="superscript"/>
        </w:rPr>
        <w:t>P334</w:t>
      </w:r>
      <w:r>
        <w:t>，而非调查警报的第一步。题干未要求必须使用外部来源，相比之下客户概况作为第一手内部信息，更直接匹配“首先审查”的要求。</w:t>
      </w:r>
    </w:p>
    <w:p>
      <w:pPr>
        <w:spacing w:before="120" w:after="40"/>
      </w:pPr>
      <w:r>
        <w:rPr>
          <w:b/>
          <w:sz w:val="21"/>
          <w:shd w:fill="D6E4F0" w:val="clear"/>
        </w:rPr>
        <w:t>C项错误</w:t>
      </w:r>
    </w:p>
    <w:p>
      <w:pPr>
        <w:spacing w:line="360" w:lineRule="auto" w:after="40"/>
        <w:ind w:firstLine="420"/>
      </w:pPr>
      <w:r>
        <w:t>不良媒体搜索属于强化尽职调查或负面媒体筛查，用于识别客户是否涉及负面信息</w:t>
      </w:r>
      <w:r>
        <w:rPr>
          <w:sz w:val="15"/>
          <w:vertAlign w:val="superscript"/>
        </w:rPr>
        <w:t>P310、P322</w:t>
      </w:r>
      <w:r>
        <w:t>。题干中并未提及客户属于高风险类别或存在任何负面新闻，与此相比客户概况是所有警报调查的基础起点，匹配度更高。</w:t>
      </w:r>
    </w:p>
    <w:p>
      <w:pPr>
        <w:spacing w:before="120" w:after="40"/>
      </w:pPr>
      <w:r>
        <w:rPr>
          <w:b/>
          <w:sz w:val="21"/>
          <w:shd w:fill="D6E4F0" w:val="clear"/>
        </w:rPr>
        <w:t>D项错误</w:t>
      </w:r>
    </w:p>
    <w:p>
      <w:pPr>
        <w:spacing w:line="360" w:lineRule="auto" w:after="40"/>
        <w:ind w:firstLine="420"/>
      </w:pPr>
      <w:r>
        <w:t>账户活动展示的是客户的实际交易历史和趋势，可用于比较异常行为</w:t>
      </w:r>
      <w:r>
        <w:rPr>
          <w:sz w:val="15"/>
          <w:vertAlign w:val="superscript"/>
        </w:rPr>
        <w:t>P337</w:t>
      </w:r>
      <w:r>
        <w:t>。但要判断“是否异常”，必须先有一个期望基准，而客户概况正是记录账户预期用途和行为的基线。调查流程要求先建立预期，再看实况，因此客户概况的位阶比账户活动更优先。</w:t>
      </w:r>
    </w:p>
    <w:p>
      <w:pPr>
        <w:spacing w:before="120" w:after="40"/>
      </w:pPr>
      <w:r>
        <w:rPr>
          <w:b/>
          <w:sz w:val="21"/>
          <w:shd w:fill="D6E4F0" w:val="clear"/>
        </w:rPr>
        <w:t>易错提醒</w:t>
      </w:r>
    </w:p>
    <w:p>
      <w:pPr>
        <w:spacing w:line="360" w:lineRule="auto" w:after="40"/>
        <w:ind w:firstLine="420"/>
      </w:pPr>
      <w:r>
        <w:t>调查警报时，客户概况（customer profile）提供“应该发生什么”的基线，账户活动（account activity）展示“实际发生了什么”。教材要求先判断活动是否偏离预期模式</w:t>
      </w:r>
      <w:r>
        <w:rPr>
          <w:sz w:val="15"/>
          <w:vertAlign w:val="superscript"/>
        </w:rPr>
        <w:t>P334</w:t>
      </w:r>
      <w:r>
        <w:t>，因此必须先查阅预期基线，再比对实际交易记录。混淆二者顺序会导致错误选择账户活动为首要审查信息。</w:t>
      </w:r>
    </w:p>
    <w:p>
      <w:pPr>
        <w:spacing w:line="360" w:lineRule="auto" w:after="120"/>
      </w:pPr>
      <w:r/>
    </w:p>
    <w:p>
      <w:pPr>
        <w:spacing w:line="360" w:lineRule="auto" w:after="40"/>
      </w:pPr>
      <w:r>
        <w:t>2. What are the primary advantages of using open-source tools in financial crime investigations? (Choose two.) ( )</w:t>
      </w:r>
    </w:p>
    <w:p>
      <w:pPr>
        <w:spacing w:line="360" w:lineRule="auto" w:after="20"/>
        <w:ind w:firstLine="283"/>
      </w:pPr>
      <w:r>
        <w:t>A. Partial automation of data collection and analysis.</w:t>
      </w:r>
    </w:p>
    <w:p>
      <w:pPr>
        <w:spacing w:line="360" w:lineRule="auto" w:after="20"/>
        <w:ind w:firstLine="283"/>
      </w:pPr>
      <w:r>
        <w:t>B. Cost-effective access to a wide range of data.</w:t>
      </w:r>
    </w:p>
    <w:p>
      <w:pPr>
        <w:spacing w:line="360" w:lineRule="auto" w:after="20"/>
        <w:ind w:firstLine="283"/>
      </w:pPr>
      <w:r>
        <w:t>C. Real-time monitoring of selected transactions and data sources.</w:t>
      </w:r>
    </w:p>
    <w:p>
      <w:pPr>
        <w:spacing w:line="360" w:lineRule="auto" w:after="20"/>
        <w:ind w:firstLine="283"/>
      </w:pPr>
      <w:r>
        <w:t>D. Ability to conduct investigations with minimal human oversight.</w:t>
      </w:r>
    </w:p>
    <w:p>
      <w:pPr>
        <w:spacing w:line="360" w:lineRule="auto" w:after="20"/>
        <w:ind w:firstLine="283"/>
      </w:pPr>
      <w:r>
        <w:t>E. Enhanced ability to identify connections across various datasets.</w:t>
      </w:r>
    </w:p>
    <w:p>
      <w:pPr>
        <w:spacing w:line="360" w:lineRule="auto" w:after="40"/>
      </w:pPr>
      <w:r>
        <w:t>答案：B、E</w:t>
      </w:r>
    </w:p>
    <w:p>
      <w:pPr>
        <w:spacing w:line="360" w:lineRule="auto" w:after="40"/>
      </w:pPr>
      <w:r>
        <w:t>解析：</w:t>
      </w:r>
    </w:p>
    <w:p>
      <w:pPr>
        <w:spacing w:before="120" w:after="40"/>
      </w:pPr>
      <w:r>
        <w:rPr>
          <w:b/>
          <w:sz w:val="21"/>
          <w:shd w:fill="D6E4F0" w:val="clear"/>
        </w:rPr>
        <w:t>考点</w:t>
      </w:r>
    </w:p>
    <w:p>
      <w:pPr>
        <w:spacing w:line="360" w:lineRule="auto" w:after="40"/>
        <w:ind w:firstLine="420"/>
      </w:pPr>
      <w:r>
        <w:t>开源工具的低成本数据获取与跨数据集关联识别优势</w:t>
      </w:r>
    </w:p>
    <w:p>
      <w:pPr>
        <w:spacing w:before="120" w:after="40"/>
      </w:pPr>
      <w:r>
        <w:rPr>
          <w:b/>
          <w:sz w:val="21"/>
          <w:shd w:fill="D6E4F0" w:val="clear"/>
        </w:rPr>
        <w:t>核心解析</w:t>
      </w:r>
    </w:p>
    <w:p>
      <w:pPr>
        <w:spacing w:line="360" w:lineRule="auto" w:after="40"/>
        <w:ind w:firstLine="420"/>
      </w:pPr>
      <w:r>
        <w:t>开源工具指的是免费且公开可用的调查资源。教材将开源研究定义为包括社交媒体、新闻文章、公共记录以及执法和监管机构发布的警报和指引</w:t>
      </w:r>
      <w:r>
        <w:rPr>
          <w:sz w:val="15"/>
          <w:vertAlign w:val="superscript"/>
        </w:rPr>
        <w:t>P334</w:t>
      </w:r>
      <w:r>
        <w:t>。这一定义表明开源工具能以极低的成本覆盖极为广泛的数据种类，直接支持了选项B“以经济高效的方式获取广泛的数据资源”。同时，教材在多处指出，通过自动化收集内外数据点来揭示隐藏关系、识别跨实体的关联，是调查技术的核心优势</w:t>
      </w:r>
      <w:r>
        <w:rPr>
          <w:sz w:val="15"/>
          <w:vertAlign w:val="superscript"/>
        </w:rPr>
        <w:t>P453</w:t>
      </w:r>
      <w:r>
        <w:t>，例如网络分析可揭示看似无关实体间的隐藏关系</w:t>
      </w:r>
      <w:r>
        <w:rPr>
          <w:sz w:val="15"/>
          <w:vertAlign w:val="superscript"/>
        </w:rPr>
        <w:t>P454</w:t>
      </w:r>
      <w:r>
        <w:t>，实体解析可跨数据集一致识别客户身份</w:t>
      </w:r>
      <w:r>
        <w:rPr>
          <w:sz w:val="15"/>
          <w:vertAlign w:val="superscript"/>
        </w:rPr>
        <w:t>P477</w:t>
      </w:r>
      <w:r>
        <w:t>。开源工具天然具备整合多种公开数据集的能力，因此能够增强跨多个数据集识别关联的能力（选项E）。两项表述均直接吻合教材对开源工具及其价值的描述。</w:t>
      </w:r>
    </w:p>
    <w:p>
      <w:pPr>
        <w:spacing w:before="120" w:after="40"/>
      </w:pPr>
      <w:r>
        <w:rPr>
          <w:b/>
          <w:sz w:val="21"/>
          <w:shd w:fill="D6E4F0" w:val="clear"/>
        </w:rPr>
        <w:t>A项错误</w:t>
      </w:r>
    </w:p>
    <w:p>
      <w:pPr>
        <w:spacing w:line="360" w:lineRule="auto" w:after="40"/>
        <w:ind w:firstLine="420"/>
      </w:pPr>
      <w:r>
        <w:t>教材将自动化（包括部分自动化）列为付费解决方案相较于免费工具的优势，付费方案提供可扩展性、自动化和更高的准确性</w:t>
      </w:r>
      <w:r>
        <w:rPr>
          <w:sz w:val="15"/>
          <w:vertAlign w:val="superscript"/>
        </w:rPr>
        <w:t>P452</w:t>
      </w:r>
      <w:r>
        <w:t>。开源工具虽然能支持调查，但其自动化程度不如付费方案，因此“数据收集与分析的部分自动化”更吻合付费方案而非开源工具的优势。</w:t>
      </w:r>
    </w:p>
    <w:p>
      <w:pPr>
        <w:spacing w:before="120" w:after="40"/>
      </w:pPr>
      <w:r>
        <w:rPr>
          <w:b/>
          <w:sz w:val="21"/>
          <w:shd w:fill="D6E4F0" w:val="clear"/>
        </w:rPr>
        <w:t>C项错误</w:t>
      </w:r>
    </w:p>
    <w:p>
      <w:pPr>
        <w:spacing w:line="360" w:lineRule="auto" w:after="40"/>
        <w:ind w:firstLine="420"/>
      </w:pPr>
      <w:r>
        <w:t>“实时监控”在教材中被描述为付费解决方案将筛查集成到案件管理工作流时所提供的功能，包括实时风险评分和持续监控</w:t>
      </w:r>
      <w:r>
        <w:rPr>
          <w:sz w:val="15"/>
          <w:vertAlign w:val="superscript"/>
        </w:rPr>
        <w:t>P452</w:t>
      </w:r>
      <w:r>
        <w:t>。开源工具如公开观察名单仅提供基本合规检查，不具备实时监控特征，因此题干更支持B和E这类无需实时能力的优势。</w:t>
      </w:r>
    </w:p>
    <w:p>
      <w:pPr>
        <w:spacing w:before="120" w:after="40"/>
      </w:pPr>
      <w:r>
        <w:rPr>
          <w:b/>
          <w:sz w:val="21"/>
          <w:shd w:fill="D6E4F0" w:val="clear"/>
        </w:rPr>
        <w:t>D项错误</w:t>
      </w:r>
    </w:p>
    <w:p>
      <w:pPr>
        <w:spacing w:line="360" w:lineRule="auto" w:after="40"/>
        <w:ind w:firstLine="420"/>
      </w:pPr>
      <w:r>
        <w:t>教材反复强调调查中必须平衡自动化效率与人工监督，完全依赖机器可能忽略上下文因素</w:t>
      </w:r>
      <w:r>
        <w:rPr>
          <w:sz w:val="15"/>
          <w:vertAlign w:val="superscript"/>
        </w:rPr>
        <w:t>P452</w:t>
      </w:r>
      <w:r>
        <w:t>，因此“最少人工监督”不仅不是开源工具的优势，反而与教材要求的人工监督原则相悖。开源工具的使用仍需分析师验证和判断，与D的描述不匹配。</w:t>
      </w:r>
    </w:p>
    <w:p>
      <w:pPr>
        <w:spacing w:before="120" w:after="40"/>
      </w:pPr>
      <w:r>
        <w:rPr>
          <w:b/>
          <w:sz w:val="21"/>
          <w:shd w:fill="D6E4F0" w:val="clear"/>
        </w:rPr>
        <w:t>易错提醒</w:t>
      </w:r>
    </w:p>
    <w:p>
      <w:pPr>
        <w:spacing w:line="360" w:lineRule="auto" w:after="40"/>
        <w:ind w:firstLine="420"/>
      </w:pPr>
      <w:r>
        <w:t>开源工具（免费资源）主要提供成本效益和广泛数据访问，而自动化、实时监控和降低人工监督等通常是付费解决方案的优势。遇到类似选项时，优先判断该特征在教材中是归属于免费工具还是付费方案</w:t>
      </w:r>
      <w:r>
        <w:rPr>
          <w:sz w:val="15"/>
          <w:vertAlign w:val="superscript"/>
        </w:rPr>
        <w:t>P452</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