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CH12 (EN)</w:t>
      </w:r>
    </w:p>
    <w:p>
      <w:pPr>
        <w:spacing w:line="360" w:lineRule="auto" w:after="160"/>
      </w:pPr>
      <w:r>
        <w:t>一、单项选择题</w:t>
      </w:r>
    </w:p>
    <w:p>
      <w:pPr>
        <w:spacing w:line="360" w:lineRule="auto" w:after="40"/>
      </w:pPr>
      <w:r>
        <w:t>1. According to the Financial Action Task Force (FATF) methodology, which situation would require a financial institution (FI) to consider filing a suspicious activity report? ( )</w:t>
      </w:r>
    </w:p>
    <w:p>
      <w:pPr>
        <w:spacing w:line="360" w:lineRule="auto" w:after="20"/>
        <w:ind w:firstLine="283"/>
      </w:pPr>
      <w:r>
        <w:t>A. A beneficiary of a transaction is a politically exposed person.</w:t>
      </w:r>
    </w:p>
    <w:p>
      <w:pPr>
        <w:spacing w:line="360" w:lineRule="auto" w:after="20"/>
        <w:ind w:firstLine="283"/>
      </w:pPr>
      <w:r>
        <w:t>B. An FI is unable to verify the relevant customer due diligence documents.</w:t>
      </w:r>
    </w:p>
    <w:p>
      <w:pPr>
        <w:spacing w:line="360" w:lineRule="auto" w:after="20"/>
        <w:ind w:firstLine="283"/>
      </w:pPr>
      <w:r>
        <w:t>C. An FI identifies that the payer is a dealer in precious metals or stones.</w:t>
      </w:r>
    </w:p>
    <w:p>
      <w:pPr>
        <w:spacing w:line="360" w:lineRule="auto" w:after="20"/>
        <w:ind w:firstLine="283"/>
      </w:pPr>
      <w:r>
        <w:t>D. A transaction involves funds exchanged from crypto to fiat currencies.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怀疑门槛与可疑活动报告触发义务</w:t>
      </w:r>
    </w:p>
    <w:p>
      <w:pPr>
        <w:spacing w:before="120" w:after="40"/>
      </w:pPr>
      <w:r>
        <w:rPr>
          <w:b/>
          <w:sz w:val="21"/>
          <w:shd w:fill="D6E4F0" w:val="clear"/>
        </w:rPr>
        <w:t>核心解析</w:t>
      </w:r>
    </w:p>
    <w:p>
      <w:pPr>
        <w:spacing w:line="360" w:lineRule="auto" w:after="40"/>
        <w:ind w:firstLine="420"/>
      </w:pPr>
      <w:r>
        <w:t>FATF建议20要求，当有合理理由怀疑资金来自犯罪活动或与恐怖融资有关时，金融机构必须调查并报告可疑交易</w:t>
      </w:r>
      <w:r>
        <w:rPr>
          <w:sz w:val="15"/>
          <w:vertAlign w:val="superscript"/>
        </w:rPr>
        <w:t>P349</w:t>
      </w:r>
      <w:r>
        <w:t>。无法核实相关客户尽职调查文件，意味着金融机构不能验证客户身份及资金来源的合法性，直接构成“合理怀疑”。教材中SAFS案例因客户尽职调查控制薄弱、未能核实高风险客户，被认定为违规</w:t>
      </w:r>
      <w:r>
        <w:rPr>
          <w:sz w:val="15"/>
          <w:vertAlign w:val="superscript"/>
        </w:rPr>
        <w:t>P266</w:t>
      </w:r>
      <w:r>
        <w:t>，进一步印证无法核实CDD会引发金融犯罪顾虑。由此，选项B的条件最直接吻合FATF规定的上报义务。</w:t>
      </w:r>
    </w:p>
    <w:p>
      <w:pPr>
        <w:spacing w:before="120" w:after="40"/>
      </w:pPr>
      <w:r>
        <w:rPr>
          <w:b/>
          <w:sz w:val="21"/>
          <w:shd w:fill="D6E4F0" w:val="clear"/>
        </w:rPr>
        <w:t>教材原句</w:t>
      </w:r>
    </w:p>
    <w:p>
      <w:pPr>
        <w:spacing w:line="360" w:lineRule="auto" w:after="40"/>
        <w:ind w:firstLine="420"/>
      </w:pPr>
      <w:r>
        <w:t>"Under FATF Recommendation 20, financial institutions (FI) must investigate and report any suspicious transactions when there are reasonable grounds to suspect the funds are proceeds of criminal activity or linked to terrorist financing."</w:t>
      </w:r>
    </w:p>
    <w:p>
      <w:pPr>
        <w:spacing w:before="120" w:after="40"/>
      </w:pPr>
      <w:r>
        <w:rPr>
          <w:b/>
          <w:sz w:val="21"/>
          <w:shd w:fill="D6E4F0" w:val="clear"/>
        </w:rPr>
        <w:t>A项错误</w:t>
      </w:r>
    </w:p>
    <w:p>
      <w:pPr>
        <w:spacing w:line="360" w:lineRule="auto" w:after="40"/>
        <w:ind w:firstLine="420"/>
      </w:pPr>
      <w:r>
        <w:t>政治公众人物属于较高风险客户</w:t>
      </w:r>
      <w:r>
        <w:rPr>
          <w:sz w:val="15"/>
          <w:vertAlign w:val="superscript"/>
        </w:rPr>
        <w:t>P270</w:t>
      </w:r>
      <w:r>
        <w:t>，需实施强化尽职调查，但该身份本身并不自动满足“合理怀疑”的标准，因此不会单独触发可疑活动报告义务。相比之下，无法核实身份文件直接形成怀疑，更贴合题干要求的触发条件。</w:t>
      </w:r>
    </w:p>
    <w:p>
      <w:pPr>
        <w:spacing w:before="120" w:after="40"/>
      </w:pPr>
      <w:r>
        <w:rPr>
          <w:b/>
          <w:sz w:val="21"/>
          <w:shd w:fill="D6E4F0" w:val="clear"/>
        </w:rPr>
        <w:t>C项错误</w:t>
      </w:r>
    </w:p>
    <w:p>
      <w:pPr>
        <w:spacing w:line="360" w:lineRule="auto" w:after="40"/>
        <w:ind w:firstLine="420"/>
      </w:pPr>
      <w:r>
        <w:t>贵金属或宝石经销商所在行业存在较高洗钱风险</w:t>
      </w:r>
      <w:r>
        <w:rPr>
          <w:sz w:val="15"/>
          <w:vertAlign w:val="superscript"/>
        </w:rPr>
        <w:t>P119</w:t>
      </w:r>
      <w:r>
        <w:t>，但仅凭确认经销商身份，并不能构成对特定交易或资金的合理怀疑。题干所问的“需要金融机构考虑提交”更倾向于直接产生怀疑的情形，而非仅基于客户行业类型。</w:t>
      </w:r>
    </w:p>
    <w:p>
      <w:pPr>
        <w:spacing w:before="120" w:after="40"/>
      </w:pPr>
      <w:r>
        <w:rPr>
          <w:b/>
          <w:sz w:val="21"/>
          <w:shd w:fill="D6E4F0" w:val="clear"/>
        </w:rPr>
        <w:t>D项错误</w:t>
      </w:r>
    </w:p>
    <w:p>
      <w:pPr>
        <w:spacing w:line="360" w:lineRule="auto" w:after="40"/>
        <w:ind w:firstLine="420"/>
      </w:pPr>
      <w:r>
        <w:t>加密货币与法定货币的兑换操作本身是合法功能</w:t>
      </w:r>
      <w:r>
        <w:rPr>
          <w:sz w:val="15"/>
          <w:vertAlign w:val="superscript"/>
        </w:rPr>
        <w:t>P109</w:t>
      </w:r>
      <w:r>
        <w:t>，教材列举的红旗信号包括大额购买后分批提现等特定模式</w:t>
      </w:r>
      <w:r>
        <w:rPr>
          <w:sz w:val="15"/>
          <w:vertAlign w:val="superscript"/>
        </w:rPr>
        <w:t>P111</w:t>
      </w:r>
      <w:r>
        <w:t>，单纯的兑换行为缺乏形成合理怀疑的必备要素。因此，该选项不如无法核实身份文件那样明确构成怀疑基础。</w:t>
      </w:r>
    </w:p>
    <w:p>
      <w:pPr>
        <w:spacing w:before="120" w:after="40"/>
      </w:pPr>
      <w:r>
        <w:rPr>
          <w:b/>
          <w:sz w:val="21"/>
          <w:shd w:fill="D6E4F0" w:val="clear"/>
        </w:rPr>
        <w:t>易错提醒</w:t>
      </w:r>
    </w:p>
    <w:p>
      <w:pPr>
        <w:spacing w:line="360" w:lineRule="auto" w:after="40"/>
        <w:ind w:firstLine="420"/>
      </w:pPr>
      <w:r>
        <w:t>政治公众人物是高风险客户</w:t>
      </w:r>
      <w:r>
        <w:rPr>
          <w:sz w:val="15"/>
          <w:vertAlign w:val="superscript"/>
        </w:rPr>
        <w:t>P270</w:t>
      </w:r>
      <w:r>
        <w:t>，需要强化尽职调查，但强化尽职调查不等于必须提交可疑活动报告；FATF规定触发报告的核心是“合理怀疑”。无法核实客户身份信息则直接形成合理怀疑，故更需考虑提交。</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