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 (EN)</w:t>
      </w:r>
    </w:p>
    <w:p>
      <w:pPr>
        <w:spacing w:line="360" w:lineRule="auto" w:after="160"/>
      </w:pPr>
      <w:r>
        <w:t>一、单项选择题</w:t>
      </w:r>
    </w:p>
    <w:p>
      <w:pPr>
        <w:spacing w:line="360" w:lineRule="auto" w:after="40"/>
      </w:pPr>
      <w:r>
        <w:t>1. Which should be provided to the board of directors or designated specialized committee when preparing suspicious activity reports (SARs)? ( )</w:t>
      </w:r>
    </w:p>
    <w:p>
      <w:pPr>
        <w:spacing w:line="360" w:lineRule="auto" w:after="20"/>
        <w:ind w:firstLine="283"/>
      </w:pPr>
      <w:r>
        <w:t>A. Statistical data regarding SARs filed during the reported period</w:t>
      </w:r>
    </w:p>
    <w:p>
      <w:pPr>
        <w:spacing w:line="360" w:lineRule="auto" w:after="20"/>
        <w:ind w:firstLine="283"/>
      </w:pPr>
      <w:r>
        <w:t>B. All possible details of SARs filed during the reported period</w:t>
      </w:r>
    </w:p>
    <w:p>
      <w:pPr>
        <w:spacing w:line="360" w:lineRule="auto" w:after="20"/>
        <w:ind w:firstLine="283"/>
      </w:pPr>
      <w:r>
        <w:t>C. Copies of all SARs filed during the reported period</w:t>
      </w:r>
    </w:p>
    <w:p>
      <w:pPr>
        <w:spacing w:line="360" w:lineRule="auto" w:after="20"/>
        <w:ind w:firstLine="283"/>
      </w:pPr>
      <w:r>
        <w:t>D. Names of all customers subject to SARs filed during the reported period</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金融机构内部对SAR信息的保密要求与访问限制</w:t>
      </w:r>
    </w:p>
    <w:p>
      <w:pPr>
        <w:spacing w:before="120" w:after="40"/>
      </w:pPr>
      <w:r>
        <w:rPr>
          <w:b/>
          <w:sz w:val="21"/>
          <w:shd w:fill="D6E4F0" w:val="clear"/>
        </w:rPr>
        <w:t>核心解析</w:t>
      </w:r>
    </w:p>
    <w:p>
      <w:pPr>
        <w:spacing w:line="360" w:lineRule="auto" w:after="40"/>
        <w:ind w:firstLine="420"/>
      </w:pPr>
      <w:r>
        <w:t>金融机构内部也应谨慎处理SAR，限制访问权限</w:t>
      </w:r>
      <w:r>
        <w:rPr>
          <w:sz w:val="15"/>
          <w:vertAlign w:val="superscript"/>
        </w:rPr>
        <w:t>P352</w:t>
      </w:r>
      <w:r>
        <w:t>。法规禁止金融机构向除特定执法机构外的任何人披露SAR或任何表明已提交SAR的信息</w:t>
      </w:r>
      <w:r>
        <w:rPr>
          <w:sz w:val="15"/>
          <w:vertAlign w:val="superscript"/>
        </w:rPr>
        <w:t>P353</w:t>
      </w:r>
      <w:r>
        <w:t>。这意味着就算在机构内部，也不是所有人都能接触到SAR的完整内容。董事会或专业委员会需要履行监督职责，了解整体合规情况，但又不能获得可能泄露具体案情或客户身份的信息，否则就违反了内部保密和避免“泄密”的原则。选项A提供报告期内的统计数据，既满足了治理层对SAR整体情况的知情需求，又在最大程度上避免了具体SAR信息的扩散，与教材中“内部限制访问”和“禁止披露”的规则最吻合。</w:t>
      </w:r>
    </w:p>
    <w:p>
      <w:pPr>
        <w:spacing w:before="120" w:after="40"/>
      </w:pPr>
      <w:r>
        <w:rPr>
          <w:b/>
          <w:sz w:val="21"/>
          <w:shd w:fill="D6E4F0" w:val="clear"/>
        </w:rPr>
        <w:t>教材原句</w:t>
      </w:r>
    </w:p>
    <w:p>
      <w:pPr>
        <w:spacing w:line="360" w:lineRule="auto" w:after="40"/>
        <w:ind w:firstLine="420"/>
      </w:pPr>
      <w:r>
        <w:t>"Even within a financial institution, SARs should be handled with care, as not everyone should have access to such information."</w:t>
      </w:r>
    </w:p>
    <w:p>
      <w:pPr>
        <w:spacing w:before="120" w:after="40"/>
      </w:pPr>
      <w:r>
        <w:rPr>
          <w:b/>
          <w:sz w:val="21"/>
          <w:shd w:fill="D6E4F0" w:val="clear"/>
        </w:rPr>
        <w:t>B项错误</w:t>
      </w:r>
    </w:p>
    <w:p>
      <w:pPr>
        <w:spacing w:line="360" w:lineRule="auto" w:after="40"/>
        <w:ind w:firstLine="420"/>
      </w:pPr>
      <w:r>
        <w:t>所有详细信息（All possible details）包含大量可能识别出具体客户、交易和怀疑理由的内容。在教材框架下，向董事会提供此类信息，与机构内部需限制SAR访问权限的原则</w:t>
      </w:r>
      <w:r>
        <w:rPr>
          <w:sz w:val="15"/>
          <w:vertAlign w:val="superscript"/>
        </w:rPr>
        <w:t>P352</w:t>
      </w:r>
      <w:r>
        <w:t>匹配度较低。提供统计数据已能满足治理层的监督需求，且更贴合内部保密要求。</w:t>
      </w:r>
    </w:p>
    <w:p>
      <w:pPr>
        <w:spacing w:before="120" w:after="40"/>
      </w:pPr>
      <w:r>
        <w:rPr>
          <w:b/>
          <w:sz w:val="21"/>
          <w:shd w:fill="D6E4F0" w:val="clear"/>
        </w:rPr>
        <w:t>C项错误</w:t>
      </w:r>
    </w:p>
    <w:p>
      <w:pPr>
        <w:spacing w:line="360" w:lineRule="auto" w:after="40"/>
        <w:ind w:firstLine="420"/>
      </w:pPr>
      <w:r>
        <w:t>提供SAR副本（Copies）将使董事会掌握完整的案件叙述、客户身份和支持证据。这远远超出了“限制访问”的内部原则</w:t>
      </w:r>
      <w:r>
        <w:rPr>
          <w:sz w:val="15"/>
          <w:vertAlign w:val="superscript"/>
        </w:rPr>
        <w:t>P352</w:t>
      </w:r>
      <w:r>
        <w:t>，在防范“泄密”风险上不如仅提供汇总统计数据来得审慎。</w:t>
      </w:r>
    </w:p>
    <w:p>
      <w:pPr>
        <w:spacing w:before="120" w:after="40"/>
      </w:pPr>
      <w:r>
        <w:rPr>
          <w:b/>
          <w:sz w:val="21"/>
          <w:shd w:fill="D6E4F0" w:val="clear"/>
        </w:rPr>
        <w:t>D项错误</w:t>
      </w:r>
    </w:p>
    <w:p>
      <w:pPr>
        <w:spacing w:line="360" w:lineRule="auto" w:after="40"/>
        <w:ind w:firstLine="420"/>
      </w:pPr>
      <w:r>
        <w:t>提供被提交SAR的客户姓名（Names）属于具体可识别信息。鉴于法规禁止在极有限范围内外披露任何表明已提交SAR的信息</w:t>
      </w:r>
      <w:r>
        <w:rPr>
          <w:sz w:val="15"/>
          <w:vertAlign w:val="superscript"/>
        </w:rPr>
        <w:t>P353</w:t>
      </w:r>
      <w:r>
        <w:t>，向非操作必需的委员会提供客户清单，相比汇总统计，更易触及保密红线。</w:t>
      </w:r>
    </w:p>
    <w:p>
      <w:pPr>
        <w:spacing w:before="120" w:after="40"/>
      </w:pPr>
      <w:r>
        <w:rPr>
          <w:b/>
          <w:sz w:val="21"/>
          <w:shd w:fill="D6E4F0" w:val="clear"/>
        </w:rPr>
        <w:t>易错提醒</w:t>
      </w:r>
    </w:p>
    <w:p>
      <w:pPr>
        <w:spacing w:line="360" w:lineRule="auto" w:after="40"/>
        <w:ind w:firstLine="420"/>
      </w:pPr>
      <w:r>
        <w:t>混淆“监督需要知情”与“操作需要知悉”的界限。董事会监督是宏观层面，需要汇总数据来评估合规有效性，而非介入具体案件。教材强调SAR信息在机构内部也需限制访问</w:t>
      </w:r>
      <w:r>
        <w:rPr>
          <w:sz w:val="15"/>
          <w:vertAlign w:val="superscript"/>
        </w:rPr>
        <w:t>P352</w:t>
      </w:r>
      <w:r>
        <w:t>，这与公司治理的“知情权”形成平衡：提供统计数据，而不是提供个案信息。</w:t>
      </w:r>
    </w:p>
    <w:p>
      <w:pPr>
        <w:spacing w:line="360" w:lineRule="auto" w:after="120"/>
      </w:pPr>
      <w:r/>
    </w:p>
    <w:p>
      <w:pPr>
        <w:spacing w:line="360" w:lineRule="auto" w:after="40"/>
      </w:pPr>
      <w:r>
        <w:t>2. The compliance officer at a casino in Taiwan discovers that the casino received multiple cash deposits from a customer just below the Large-Amount Transaction Report (LTR) limit on consecutive days. The customer used three different betting accounts. What is the appropriate next step? ( )</w:t>
      </w:r>
    </w:p>
    <w:p>
      <w:pPr>
        <w:spacing w:line="360" w:lineRule="auto" w:after="20"/>
        <w:ind w:firstLine="283"/>
      </w:pPr>
      <w:r>
        <w:t>A. Make a note in the customer's account that the customer's gambling activities are frequently conducted below the reporting limit</w:t>
      </w:r>
    </w:p>
    <w:p>
      <w:pPr>
        <w:spacing w:line="360" w:lineRule="auto" w:after="20"/>
        <w:ind w:firstLine="283"/>
      </w:pPr>
      <w:r>
        <w:t>B. Follow internal reporting procedures to escalate the activity as suspicious and report to appropriate authorities</w:t>
      </w:r>
    </w:p>
    <w:p>
      <w:pPr>
        <w:spacing w:line="360" w:lineRule="auto" w:after="20"/>
        <w:ind w:firstLine="283"/>
      </w:pPr>
      <w:r>
        <w:t>C. Inform the customer that their activity is suspicious and request an explanation</w:t>
      </w:r>
    </w:p>
    <w:p>
      <w:pPr>
        <w:spacing w:line="360" w:lineRule="auto" w:after="20"/>
        <w:ind w:firstLine="283"/>
      </w:pPr>
      <w:r>
        <w:t>D. Contact law enforcement to investigate the customer's financial activity</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可疑活动识别后遵循内部报告程序逐级上报</w:t>
      </w:r>
    </w:p>
    <w:p>
      <w:pPr>
        <w:spacing w:before="120" w:after="40"/>
      </w:pPr>
      <w:r>
        <w:rPr>
          <w:b/>
          <w:sz w:val="21"/>
          <w:shd w:fill="D6E4F0" w:val="clear"/>
        </w:rPr>
        <w:t>核心解析</w:t>
      </w:r>
    </w:p>
    <w:p>
      <w:pPr>
        <w:spacing w:line="360" w:lineRule="auto" w:after="40"/>
        <w:ind w:firstLine="420"/>
      </w:pPr>
      <w:r>
        <w:t>教材要求机构制定政策和程序，使员工能将可疑情况报告给指定合规官</w:t>
      </w:r>
      <w:r>
        <w:rPr>
          <w:sz w:val="15"/>
          <w:vertAlign w:val="superscript"/>
        </w:rPr>
        <w:t>P351</w:t>
      </w:r>
      <w:r>
        <w:t>。合规官负责评估信息并决定采取何种行动</w:t>
      </w:r>
      <w:r>
        <w:rPr>
          <w:sz w:val="15"/>
          <w:vertAlign w:val="superscript"/>
        </w:rPr>
        <w:t>P351</w:t>
      </w:r>
      <w:r>
        <w:t>。若事实表明需对外报告，通常应向相关主管机构提交可疑活动报告（P351‑P352）。题干中赌场合规官发现顾客连续几天以略低于大额交易报告限额的现金存款并使用不同账户，这构成疑似结构化的可疑活动。在这种情况下，恰当的做法是按照内部程序将该活动作为可疑行为上报，并进一步向主管机构提交报告，这正好对应选项B的描述——先通过内部渠道升级，再向主管部门报告，完全符合教材设定的报告流程。</w:t>
      </w:r>
    </w:p>
    <w:p>
      <w:pPr>
        <w:spacing w:before="120" w:after="40"/>
      </w:pPr>
      <w:r>
        <w:rPr>
          <w:b/>
          <w:sz w:val="21"/>
          <w:shd w:fill="D6E4F0" w:val="clear"/>
        </w:rPr>
        <w:t>教材原句</w:t>
      </w:r>
    </w:p>
    <w:p>
      <w:pPr>
        <w:spacing w:line="360" w:lineRule="auto" w:after="40"/>
        <w:ind w:firstLine="420"/>
      </w:pPr>
      <w:r>
        <w:t>"It is important that organizations implement policies and procedures to enable staff to report their suspicions to an assigned compliance officer."</w:t>
      </w:r>
    </w:p>
    <w:p>
      <w:pPr>
        <w:spacing w:before="120" w:after="40"/>
      </w:pPr>
      <w:r>
        <w:rPr>
          <w:b/>
          <w:sz w:val="21"/>
          <w:shd w:fill="D6E4F0" w:val="clear"/>
        </w:rPr>
        <w:t>A项错误</w:t>
      </w:r>
    </w:p>
    <w:p>
      <w:pPr>
        <w:spacing w:line="360" w:lineRule="auto" w:after="40"/>
        <w:ind w:firstLine="420"/>
      </w:pPr>
      <w:r>
        <w:t>仅做账户备注落在最低限度的记录层面，未能启动任何报告程序，相比B项所体现的“先内部上报再提交正式可疑报告”的完整流程，其对机构报告义务的履行明显不足。</w:t>
      </w:r>
    </w:p>
    <w:p>
      <w:pPr>
        <w:spacing w:before="120" w:after="40"/>
      </w:pPr>
      <w:r>
        <w:rPr>
          <w:b/>
          <w:sz w:val="21"/>
          <w:shd w:fill="D6E4F0" w:val="clear"/>
        </w:rPr>
        <w:t>C项错误</w:t>
      </w:r>
    </w:p>
    <w:p>
      <w:pPr>
        <w:spacing w:line="360" w:lineRule="auto" w:after="40"/>
        <w:ind w:firstLine="420"/>
      </w:pPr>
      <w:r>
        <w:t>直接告知客户其活动可疑并要求解释，极可能构成 tipping off（通风报信），在教材中被视为需要严格避免的行为</w:t>
      </w:r>
      <w:r>
        <w:rPr>
          <w:sz w:val="15"/>
          <w:vertAlign w:val="superscript"/>
        </w:rPr>
        <w:t>P336</w:t>
      </w:r>
      <w:r>
        <w:t>，且这种与客户的直接沟通并未出现在可疑报告的标准处理流程中，不如B项先完成内部报告再由合规官决定后续行动更符合专业要求。</w:t>
      </w:r>
    </w:p>
    <w:p>
      <w:pPr>
        <w:spacing w:before="120" w:after="40"/>
      </w:pPr>
      <w:r>
        <w:rPr>
          <w:b/>
          <w:sz w:val="21"/>
          <w:shd w:fill="D6E4F0" w:val="clear"/>
        </w:rPr>
        <w:t>D项错误</w:t>
      </w:r>
    </w:p>
    <w:p>
      <w:pPr>
        <w:spacing w:line="360" w:lineRule="auto" w:after="40"/>
        <w:ind w:firstLine="420"/>
      </w:pPr>
      <w:r>
        <w:t>联系执法部门进行财务调查跳过了合规官评估并决定是否对外报告的中间环节，与教材所描述的“先通过内部程序升级，再由合规官判断是否提交SAR”的流程顺序不一致，因此匹配度低于B项。</w:t>
      </w:r>
    </w:p>
    <w:p>
      <w:pPr>
        <w:spacing w:before="120" w:after="40"/>
      </w:pPr>
      <w:r>
        <w:rPr>
          <w:b/>
          <w:sz w:val="21"/>
          <w:shd w:fill="D6E4F0" w:val="clear"/>
        </w:rPr>
        <w:t>易错提醒</w:t>
      </w:r>
    </w:p>
    <w:p>
      <w:pPr>
        <w:spacing w:line="360" w:lineRule="auto" w:after="40"/>
        <w:ind w:firstLine="420"/>
      </w:pPr>
      <w:r>
        <w:t>发现可疑交易的第一步并非直接联系执法部门或通知客户，而是遵循机构内部政策将情况报告给合规官</w:t>
      </w:r>
      <w:r>
        <w:rPr>
          <w:sz w:val="15"/>
          <w:vertAlign w:val="superscript"/>
        </w:rPr>
        <w:t>P351</w:t>
      </w:r>
      <w:r>
        <w:t>；合规官评估后若认为需要，再向主管机构提交可疑活动报告（P351‑P352）。直接联系客户容易导致 tipping off，可能面临刑事后果</w:t>
      </w:r>
      <w:r>
        <w:rPr>
          <w:sz w:val="15"/>
          <w:vertAlign w:val="superscript"/>
        </w:rPr>
        <w:t>P336</w:t>
      </w:r>
      <w:r>
        <w:t>。</w:t>
      </w:r>
    </w:p>
    <w:p>
      <w:pPr>
        <w:spacing w:line="360" w:lineRule="auto" w:after="120"/>
      </w:pPr>
      <w:r/>
    </w:p>
    <w:p>
      <w:pPr>
        <w:spacing w:line="360" w:lineRule="auto" w:after="40"/>
      </w:pPr>
      <w:r>
        <w:t>3. A bank received a subpoena regarding one of its clients. The financial intelligence unit of the bank should review the subpoena and: ( )</w:t>
      </w:r>
    </w:p>
    <w:p>
      <w:pPr>
        <w:spacing w:line="360" w:lineRule="auto" w:after="20"/>
        <w:ind w:firstLine="283"/>
      </w:pPr>
      <w:r>
        <w:t>A. Close the client's account by informing the client of the subpoena</w:t>
      </w:r>
    </w:p>
    <w:p>
      <w:pPr>
        <w:spacing w:line="360" w:lineRule="auto" w:after="20"/>
        <w:ind w:firstLine="283"/>
      </w:pPr>
      <w:r>
        <w:t>B. Perform a transaction review and respond fully to the subpoena</w:t>
      </w:r>
    </w:p>
    <w:p>
      <w:pPr>
        <w:spacing w:line="360" w:lineRule="auto" w:after="20"/>
        <w:ind w:firstLine="283"/>
      </w:pPr>
      <w:r>
        <w:t>C. File a suspicious activity report (SAR), including the receipt of the subpoena in the SAR narrative</w:t>
      </w:r>
    </w:p>
    <w:p>
      <w:pPr>
        <w:spacing w:line="360" w:lineRule="auto" w:after="20"/>
        <w:ind w:firstLine="283"/>
      </w:pPr>
      <w:r>
        <w:t>D. Adjust the client's risk score and close the case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传票触发客户审查但不自动导致提交可疑活动报告</w:t>
      </w:r>
    </w:p>
    <w:p>
      <w:pPr>
        <w:spacing w:before="120" w:after="40"/>
      </w:pPr>
      <w:r>
        <w:rPr>
          <w:b/>
          <w:sz w:val="21"/>
          <w:shd w:fill="D6E4F0" w:val="clear"/>
        </w:rPr>
        <w:t>核心解析</w:t>
      </w:r>
    </w:p>
    <w:p>
      <w:pPr>
        <w:spacing w:line="360" w:lineRule="auto" w:after="40"/>
        <w:ind w:firstLine="420"/>
      </w:pPr>
      <w:r>
        <w:t>教材指出，金融机构日常会收到传票等法律令状，这类信息请求通常会触发客户审查，但不会自动导致提交可疑活动报告，因为可能缺乏足够证据支持</w:t>
      </w:r>
      <w:r>
        <w:rPr>
          <w:sz w:val="15"/>
          <w:vertAlign w:val="superscript"/>
        </w:rPr>
        <w:t>P357</w:t>
      </w:r>
      <w:r>
        <w:t>。同时，金融机构有义务回应执法机构关于交易和账户所有权的信息请求，并须保证高度保密性、紧迫性和准确性</w:t>
      </w:r>
      <w:r>
        <w:rPr>
          <w:sz w:val="15"/>
          <w:vertAlign w:val="superscript"/>
        </w:rPr>
        <w:t>P362</w:t>
      </w:r>
      <w:r>
        <w:t>。本题中银行收到针对某客户的传票，金融情报部门应首先进行交易审查并全面回应传票，这一做法直接吻合教材对执法请求响应流程的要求，因此B正确。</w:t>
      </w:r>
    </w:p>
    <w:p>
      <w:pPr>
        <w:spacing w:before="120" w:after="40"/>
      </w:pPr>
      <w:r>
        <w:rPr>
          <w:b/>
          <w:sz w:val="21"/>
          <w:shd w:fill="D6E4F0" w:val="clear"/>
        </w:rPr>
        <w:t>A项错误</w:t>
      </w:r>
    </w:p>
    <w:p>
      <w:pPr>
        <w:spacing w:line="360" w:lineRule="auto" w:after="40"/>
        <w:ind w:firstLine="420"/>
      </w:pPr>
      <w:r>
        <w:t>告知客户传票并关闭账户，违反了执法请求对高度保密性的要求</w:t>
      </w:r>
      <w:r>
        <w:rPr>
          <w:sz w:val="15"/>
          <w:vertAlign w:val="superscript"/>
        </w:rPr>
        <w:t>P362</w:t>
      </w:r>
      <w:r>
        <w:t>，且执法机构可能要求保持账户开放以协助调查</w:t>
      </w:r>
      <w:r>
        <w:rPr>
          <w:sz w:val="15"/>
          <w:vertAlign w:val="superscript"/>
        </w:rPr>
        <w:t>P362</w:t>
      </w:r>
      <w:r>
        <w:t>。相比之下，B的做法更匹配教材规定的响应流程。</w:t>
      </w:r>
    </w:p>
    <w:p>
      <w:pPr>
        <w:spacing w:before="120" w:after="40"/>
      </w:pPr>
      <w:r>
        <w:rPr>
          <w:b/>
          <w:sz w:val="21"/>
          <w:shd w:fill="D6E4F0" w:val="clear"/>
        </w:rPr>
        <w:t>C项错误</w:t>
      </w:r>
    </w:p>
    <w:p>
      <w:pPr>
        <w:spacing w:line="360" w:lineRule="auto" w:after="40"/>
        <w:ind w:firstLine="420"/>
      </w:pPr>
      <w:r>
        <w:t>收到传票会触发客户审查，但教材明确不自动导致提交可疑活动报告</w:t>
      </w:r>
      <w:r>
        <w:rPr>
          <w:sz w:val="15"/>
          <w:vertAlign w:val="superscript"/>
        </w:rPr>
        <w:t>P357</w:t>
      </w:r>
      <w:r>
        <w:t>。直接提交SAR不如B先进行交易审查并回应传票，更吻合教材对执法请求的应对逻辑。</w:t>
      </w:r>
    </w:p>
    <w:p>
      <w:pPr>
        <w:spacing w:before="120" w:after="40"/>
      </w:pPr>
      <w:r>
        <w:rPr>
          <w:b/>
          <w:sz w:val="21"/>
          <w:shd w:fill="D6E4F0" w:val="clear"/>
        </w:rPr>
        <w:t>D项错误</w:t>
      </w:r>
    </w:p>
    <w:p>
      <w:pPr>
        <w:spacing w:line="360" w:lineRule="auto" w:after="40"/>
        <w:ind w:firstLine="420"/>
      </w:pPr>
      <w:r>
        <w:t>调整风险评分并结案跳过了回应传票的法律义务</w:t>
      </w:r>
      <w:r>
        <w:rPr>
          <w:sz w:val="15"/>
          <w:vertAlign w:val="superscript"/>
        </w:rPr>
        <w:t>P362</w:t>
      </w:r>
      <w:r>
        <w:t>，且风险评分的调整通常发生在调查结束后</w:t>
      </w:r>
      <w:r>
        <w:rPr>
          <w:sz w:val="15"/>
          <w:vertAlign w:val="superscript"/>
        </w:rPr>
        <w:t>P469</w:t>
      </w:r>
      <w:r>
        <w:t>。因此不如B能直接满足收到传票时的首要应对要求。</w:t>
      </w:r>
    </w:p>
    <w:p>
      <w:pPr>
        <w:spacing w:line="360" w:lineRule="auto" w:after="120"/>
      </w:pPr>
      <w:r/>
    </w:p>
    <w:p>
      <w:pPr>
        <w:spacing w:line="360" w:lineRule="auto" w:after="40"/>
      </w:pPr>
      <w:r>
        <w:t>4. A Financial Intelligence Unit (FIU) serves as a national center for the receipt and analysis of suspicious activity reports (SARs) and can obtain additional information from other reporting entities relevant to: ( )</w:t>
      </w:r>
    </w:p>
    <w:p>
      <w:pPr>
        <w:spacing w:line="360" w:lineRule="auto" w:after="20"/>
        <w:ind w:firstLine="283"/>
      </w:pPr>
      <w:r>
        <w:t>A. Public administration</w:t>
      </w:r>
    </w:p>
    <w:p>
      <w:pPr>
        <w:spacing w:line="360" w:lineRule="auto" w:after="20"/>
        <w:ind w:firstLine="283"/>
      </w:pPr>
      <w:r>
        <w:t>B. Legal assessment</w:t>
      </w:r>
    </w:p>
    <w:p>
      <w:pPr>
        <w:spacing w:line="360" w:lineRule="auto" w:after="20"/>
        <w:ind w:firstLine="283"/>
      </w:pPr>
      <w:r>
        <w:t>C. Law enforcement</w:t>
      </w:r>
    </w:p>
    <w:p>
      <w:pPr>
        <w:spacing w:line="360" w:lineRule="auto" w:after="20"/>
        <w:ind w:firstLine="283"/>
      </w:pPr>
      <w:r>
        <w:t>D. Legal activity</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FIU 的核心使命及 SAR 情报的终端用户</w:t>
      </w:r>
    </w:p>
    <w:p>
      <w:pPr>
        <w:spacing w:before="120" w:after="40"/>
      </w:pPr>
      <w:r>
        <w:rPr>
          <w:b/>
          <w:sz w:val="21"/>
          <w:shd w:fill="D6E4F0" w:val="clear"/>
        </w:rPr>
        <w:t>核心解析</w:t>
      </w:r>
    </w:p>
    <w:p>
      <w:pPr>
        <w:spacing w:line="360" w:lineRule="auto" w:after="40"/>
        <w:ind w:firstLine="420"/>
      </w:pPr>
      <w:r>
        <w:t>可疑活动报告（SAR）的主要目标是为执法部门提供关于涉嫌洗钱、恐怖融资及其他犯罪的可操作情报</w:t>
      </w:r>
      <w:r>
        <w:rPr>
          <w:sz w:val="15"/>
          <w:vertAlign w:val="superscript"/>
        </w:rPr>
        <w:t>P359</w:t>
      </w:r>
      <w:r>
        <w:t>。金融情报机构（FIU）作为国家中心，负责接收和分析可疑活动报告，其核心职能就是支持执法调查：各辖区应设立金融情报机构以分析可疑交易报告并支持执法调查</w:t>
      </w:r>
      <w:r>
        <w:rPr>
          <w:sz w:val="15"/>
          <w:vertAlign w:val="superscript"/>
        </w:rPr>
        <w:t>P149</w:t>
      </w:r>
      <w:r>
        <w:t>。教材在描述韩国金融情报中心时也明确指出，FIU 分析可疑交易报告并与执法机构共享信息</w:t>
      </w:r>
      <w:r>
        <w:rPr>
          <w:sz w:val="15"/>
          <w:vertAlign w:val="superscript"/>
        </w:rPr>
        <w:t>P203</w:t>
      </w:r>
      <w:r>
        <w:t>。题干问 FIU 可从其他报告实体获取与什么相关的更多信息，结合教材对 FIU 与 SAR 制度的定位，获取信息的最终目的就是服务于执法部门的调查与起诉工作。从逻辑链条看，FIU 接收 SAR → 分析研判 → 分发情报给执法部门，执法部门是这条情报链的终端用户，因此“执法部门”最直接地匹配题干要求。</w:t>
      </w:r>
    </w:p>
    <w:p>
      <w:pPr>
        <w:spacing w:before="120" w:after="40"/>
      </w:pPr>
      <w:r>
        <w:rPr>
          <w:b/>
          <w:sz w:val="21"/>
          <w:shd w:fill="D6E4F0" w:val="clear"/>
        </w:rPr>
        <w:t>教材原句</w:t>
      </w:r>
    </w:p>
    <w:p>
      <w:pPr>
        <w:spacing w:line="360" w:lineRule="auto" w:after="40"/>
        <w:ind w:firstLine="420"/>
      </w:pPr>
      <w:r>
        <w:t>"The primary goal of a suspicious activity report (SAR) is to provide law enforcement with actionable intelligence about suspected money laundering, terrorist financing, and other crimes."</w:t>
      </w:r>
    </w:p>
    <w:p>
      <w:pPr>
        <w:spacing w:before="120" w:after="40"/>
      </w:pPr>
      <w:r>
        <w:rPr>
          <w:b/>
          <w:sz w:val="21"/>
          <w:shd w:fill="D6E4F0" w:val="clear"/>
        </w:rPr>
        <w:t>A项错误</w:t>
      </w:r>
    </w:p>
    <w:p>
      <w:pPr>
        <w:spacing w:line="360" w:lineRule="auto" w:after="40"/>
        <w:ind w:firstLine="420"/>
      </w:pPr>
      <w:r>
        <w:t>教材在巴塞尔AML指数的评估维度中提及了“公共透明度与问责制”</w:t>
      </w:r>
      <w:r>
        <w:rPr>
          <w:sz w:val="15"/>
          <w:vertAlign w:val="superscript"/>
        </w:rPr>
        <w:t>P175</w:t>
      </w:r>
      <w:r>
        <w:t>和“公共财政管理技术援助”</w:t>
      </w:r>
      <w:r>
        <w:rPr>
          <w:sz w:val="15"/>
          <w:vertAlign w:val="superscript"/>
        </w:rPr>
        <w:t>P174</w:t>
      </w:r>
      <w:r>
        <w:t>，但这些概念处于评估框架下，与 FIU 从报告实体获取更多信息的目的关联较弱。题干更直接匹配执法部门作为情报接收方，而非公共行政范畴。</w:t>
      </w:r>
    </w:p>
    <w:p>
      <w:pPr>
        <w:spacing w:before="120" w:after="40"/>
      </w:pPr>
      <w:r>
        <w:rPr>
          <w:b/>
          <w:sz w:val="21"/>
          <w:shd w:fill="D6E4F0" w:val="clear"/>
        </w:rPr>
        <w:t>B项错误</w:t>
      </w:r>
    </w:p>
    <w:p>
      <w:pPr>
        <w:spacing w:line="360" w:lineRule="auto" w:after="40"/>
        <w:ind w:firstLine="420"/>
      </w:pPr>
      <w:r>
        <w:t>巴塞尔AML指数评估“法律与政治风险”</w:t>
      </w:r>
      <w:r>
        <w:rPr>
          <w:sz w:val="15"/>
          <w:vertAlign w:val="superscript"/>
        </w:rPr>
        <w:t>P175</w:t>
      </w:r>
      <w:r>
        <w:t>，但此为洗钱风险的外部评估指标。FIU 获取信息的核心导向是支持执法行动，而非进行法律评估。法律评估更偏向对法规框架或案件法律要件的判断，与 FIU 作为情报中转和分析机构的功能定位相比，执法部门更吻合教材对 FIU 职责的定义。</w:t>
      </w:r>
    </w:p>
    <w:p>
      <w:pPr>
        <w:spacing w:before="120" w:after="40"/>
      </w:pPr>
      <w:r>
        <w:rPr>
          <w:b/>
          <w:sz w:val="21"/>
          <w:shd w:fill="D6E4F0" w:val="clear"/>
        </w:rPr>
        <w:t>D项错误</w:t>
      </w:r>
    </w:p>
    <w:p>
      <w:pPr>
        <w:spacing w:line="360" w:lineRule="auto" w:after="40"/>
        <w:ind w:firstLine="420"/>
      </w:pPr>
      <w:r>
        <w:t>可疑活动报告本身针对的就是可疑或潜在非法活动</w:t>
      </w:r>
      <w:r>
        <w:rPr>
          <w:sz w:val="15"/>
          <w:vertAlign w:val="superscript"/>
        </w:rPr>
        <w:t>P346</w:t>
      </w:r>
      <w:r>
        <w:t>，合法活动不存在可疑性，因此不需要 FIU 从其他报告实体获取相关信息。该选项与 SAR 制度的基本逻辑相悖。</w:t>
      </w:r>
    </w:p>
    <w:p>
      <w:pPr>
        <w:spacing w:before="120" w:after="40"/>
      </w:pPr>
      <w:r>
        <w:rPr>
          <w:b/>
          <w:sz w:val="21"/>
          <w:shd w:fill="D6E4F0" w:val="clear"/>
        </w:rPr>
        <w:t>易错提醒</w:t>
      </w:r>
    </w:p>
    <w:p>
      <w:pPr>
        <w:spacing w:line="360" w:lineRule="auto" w:after="40"/>
        <w:ind w:firstLine="420"/>
      </w:pPr>
      <w:r>
        <w:t>“法律评估”（B）与“执法部门”（C）的根本区分在于所处环节：FIU 汇集情报→分析研判→移交执法部门采取行动。FIU 本身不做“法律评估”（如判断是否构成犯罪、适用哪条法律），而是生成情报供执法部门使用。教材将 FIU 定义为支持执法调查的机构，而非法律评估机构。</w:t>
      </w:r>
    </w:p>
    <w:p>
      <w:pPr>
        <w:spacing w:line="360" w:lineRule="auto" w:after="120"/>
      </w:pPr>
      <w:r/>
    </w:p>
    <w:p>
      <w:pPr>
        <w:spacing w:line="360" w:lineRule="auto" w:after="40"/>
      </w:pPr>
      <w:r>
        <w:t>5. In which of the following cases can a financial institution disclose a suspicious activity report (SAR)? ( )</w:t>
      </w:r>
    </w:p>
    <w:p>
      <w:pPr>
        <w:spacing w:line="360" w:lineRule="auto" w:after="20"/>
        <w:ind w:firstLine="283"/>
      </w:pPr>
      <w:r>
        <w:t>A. A court order requests the bank to disclose the SAR, subject to obtaining agreement from the legal team</w:t>
      </w:r>
    </w:p>
    <w:p>
      <w:pPr>
        <w:spacing w:line="360" w:lineRule="auto" w:after="20"/>
        <w:ind w:firstLine="283"/>
      </w:pPr>
      <w:r>
        <w:t>B. A customer asks about potential reporting to the local Financial Intelligence Unit (FIU)</w:t>
      </w:r>
    </w:p>
    <w:p>
      <w:pPr>
        <w:spacing w:line="360" w:lineRule="auto" w:after="20"/>
        <w:ind w:firstLine="283"/>
      </w:pPr>
      <w:r>
        <w:t>C. An external consultant inquires about the details of the SAR</w:t>
      </w:r>
    </w:p>
    <w:p>
      <w:pPr>
        <w:spacing w:line="360" w:lineRule="auto" w:after="20"/>
        <w:ind w:firstLine="283"/>
      </w:pPr>
      <w:r>
        <w:t>D. A third-country police force directly inquires about the customer</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掌握 SAR 保密原则及其仅有的合法披露例外</w:t>
      </w:r>
    </w:p>
    <w:p>
      <w:pPr>
        <w:spacing w:before="120" w:after="40"/>
      </w:pPr>
      <w:r>
        <w:rPr>
          <w:b/>
          <w:sz w:val="21"/>
          <w:shd w:fill="D6E4F0" w:val="clear"/>
        </w:rPr>
        <w:t>核心解析</w:t>
      </w:r>
    </w:p>
    <w:p>
      <w:pPr>
        <w:spacing w:line="360" w:lineRule="auto" w:after="40"/>
        <w:ind w:firstLine="420"/>
      </w:pPr>
      <w:r>
        <w:t>教材规定，法规禁止金融机构向除特定执法机构外的任何人披露可疑活动报告（SAR）或任何表明已提交SAR的信息</w:t>
      </w:r>
      <w:r>
        <w:rPr>
          <w:sz w:val="15"/>
          <w:vertAlign w:val="superscript"/>
        </w:rPr>
        <w:t>P353</w:t>
      </w:r>
      <w:r>
        <w:t>。同时，执法机构可通过法院命令、传票等法律工具要求金融机构提供相关账户信息或交易记录</w:t>
      </w:r>
      <w:r>
        <w:rPr>
          <w:sz w:val="15"/>
          <w:vertAlign w:val="superscript"/>
        </w:rPr>
        <w:t>P336</w:t>
      </w:r>
      <w:r>
        <w:t>。选项A中，法院命令正是执法机构借助司法程序提出的正式要求，银行在获得内部法律团队同意后披露SAR，符合教材中向执法机构披露的例外情形，且内部同意步骤不改变披露的合法属性。相比之下，其他选项均涉及向客户、外部顾问或未经正式司法授权的第三国警方披露，均被禁止。</w:t>
      </w:r>
    </w:p>
    <w:p>
      <w:pPr>
        <w:spacing w:before="120" w:after="40"/>
      </w:pPr>
      <w:r>
        <w:rPr>
          <w:b/>
          <w:sz w:val="21"/>
          <w:shd w:fill="D6E4F0" w:val="clear"/>
        </w:rPr>
        <w:t>教材原句</w:t>
      </w:r>
    </w:p>
    <w:p>
      <w:pPr>
        <w:spacing w:line="360" w:lineRule="auto" w:after="40"/>
        <w:ind w:firstLine="420"/>
      </w:pPr>
      <w:r>
        <w:t>"Regulations prohibit financial institutions from disclosing a SAR, or any information that would indicate a SAR was filed, to anyone except certain law enforcement agencies."</w:t>
      </w:r>
    </w:p>
    <w:p>
      <w:pPr>
        <w:spacing w:before="120" w:after="40"/>
      </w:pPr>
      <w:r>
        <w:rPr>
          <w:b/>
          <w:sz w:val="21"/>
          <w:shd w:fill="D6E4F0" w:val="clear"/>
        </w:rPr>
        <w:t>B项错误</w:t>
      </w:r>
    </w:p>
    <w:p>
      <w:pPr>
        <w:spacing w:line="360" w:lineRule="auto" w:after="40"/>
        <w:ind w:firstLine="420"/>
      </w:pPr>
      <w:r>
        <w:t>客户询问向FIU报告的可能性，实质上等同于试图获知是否存在SAR。教材禁止向客户或任何未经授权方披露SAR</w:t>
      </w:r>
      <w:r>
        <w:rPr>
          <w:sz w:val="15"/>
          <w:vertAlign w:val="superscript"/>
        </w:rPr>
        <w:t>P352、P353</w:t>
      </w:r>
      <w:r>
        <w:t>，这种行为会构成“通风报信”（tipping off）。与A相比，B直接违反了保密原则，不具备任何合法披露前提。</w:t>
      </w:r>
    </w:p>
    <w:p>
      <w:pPr>
        <w:spacing w:before="120" w:after="40"/>
      </w:pPr>
      <w:r>
        <w:rPr>
          <w:b/>
          <w:sz w:val="21"/>
          <w:shd w:fill="D6E4F0" w:val="clear"/>
        </w:rPr>
        <w:t>C项错误</w:t>
      </w:r>
    </w:p>
    <w:p>
      <w:pPr>
        <w:spacing w:line="360" w:lineRule="auto" w:after="40"/>
        <w:ind w:firstLine="420"/>
      </w:pPr>
      <w:r>
        <w:t>外部顾问不是执法机构，也不属于允许接收SAR信息的对象</w:t>
      </w:r>
      <w:r>
        <w:rPr>
          <w:sz w:val="15"/>
          <w:vertAlign w:val="superscript"/>
        </w:rPr>
        <w:t>P353</w:t>
      </w:r>
      <w:r>
        <w:t>。即使顾问受雇于银行，内部也应限制SAR访问</w:t>
      </w:r>
      <w:r>
        <w:rPr>
          <w:sz w:val="15"/>
          <w:vertAlign w:val="superscript"/>
        </w:rPr>
        <w:t>P352</w:t>
      </w:r>
      <w:r>
        <w:t>。选项A有法院命令这一正式法律依据，匹配度远高于C的普通外部询问。</w:t>
      </w:r>
    </w:p>
    <w:p>
      <w:pPr>
        <w:spacing w:before="120" w:after="40"/>
      </w:pPr>
      <w:r>
        <w:rPr>
          <w:b/>
          <w:sz w:val="21"/>
          <w:shd w:fill="D6E4F0" w:val="clear"/>
        </w:rPr>
        <w:t>D项错误</w:t>
      </w:r>
    </w:p>
    <w:p>
      <w:pPr>
        <w:spacing w:line="360" w:lineRule="auto" w:after="40"/>
        <w:ind w:firstLine="420"/>
      </w:pPr>
      <w:r>
        <w:t>第三国警方的直接询问虽来自执法机构，但缺乏法院命令、传票等教材列举的正式法律工具</w:t>
      </w:r>
      <w:r>
        <w:rPr>
          <w:sz w:val="15"/>
          <w:vertAlign w:val="superscript"/>
        </w:rPr>
        <w:t>P336</w:t>
      </w:r>
      <w:r>
        <w:t>，且可能不具备本地司法管辖权。教材对SAR披露的例外汇聚在“特定执法机构”之上，直接询问不足以构成强制披露的合法依据，其匹配度远不及有法院命令背书的选项A。</w:t>
      </w:r>
    </w:p>
    <w:p>
      <w:pPr>
        <w:spacing w:before="120" w:after="40"/>
      </w:pPr>
      <w:r>
        <w:rPr>
          <w:b/>
          <w:sz w:val="21"/>
          <w:shd w:fill="D6E4F0" w:val="clear"/>
        </w:rPr>
        <w:t>易错提醒</w:t>
      </w:r>
    </w:p>
    <w:p>
      <w:pPr>
        <w:spacing w:line="360" w:lineRule="auto" w:after="40"/>
        <w:ind w:firstLine="420"/>
      </w:pPr>
      <w:r>
        <w:t>易混淆点：执法机构“直接询问”与“法院命令”的要求效力不同。教材P336指出执法机构可以使用法院命令、传票等工具获取记录，而直接询问仅用于促使调查。直接披露SAR给未经正式司法程序授权的执法机构（包括境外警方）仍违反保密原则，考生需注意两者的法律基础差异。</w:t>
      </w:r>
    </w:p>
    <w:p>
      <w:pPr>
        <w:spacing w:line="360" w:lineRule="auto" w:after="120"/>
      </w:pPr>
      <w:r/>
    </w:p>
    <w:p>
      <w:pPr>
        <w:spacing w:line="360" w:lineRule="auto" w:after="40"/>
      </w:pPr>
      <w:r>
        <w:t>6. Which scenario best justifies why a customer's account might be closed by a financial institution? ( )</w:t>
      </w:r>
    </w:p>
    <w:p>
      <w:pPr>
        <w:spacing w:line="360" w:lineRule="auto" w:after="20"/>
        <w:ind w:firstLine="283"/>
      </w:pPr>
      <w:r>
        <w:t>A. The customer is the object of a civil subpoena</w:t>
      </w:r>
    </w:p>
    <w:p>
      <w:pPr>
        <w:spacing w:line="360" w:lineRule="auto" w:after="20"/>
        <w:ind w:firstLine="283"/>
      </w:pPr>
      <w:r>
        <w:t>B. The customer uses a shipping company dealing with specially designated nationals</w:t>
      </w:r>
    </w:p>
    <w:p>
      <w:pPr>
        <w:spacing w:line="360" w:lineRule="auto" w:after="20"/>
        <w:ind w:firstLine="283"/>
      </w:pPr>
      <w:r>
        <w:t>C. The account shows periodic fixed-amount remittances for tuition fees</w:t>
      </w:r>
    </w:p>
    <w:p>
      <w:pPr>
        <w:spacing w:line="360" w:lineRule="auto" w:after="20"/>
        <w:ind w:firstLine="283"/>
      </w:pPr>
      <w:r>
        <w:t>D. The account has transactions that triggered multiple suspicious activity reports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触发多份 SAR 如何反映持续的洗钱嫌疑进而导致账户关闭</w:t>
      </w:r>
    </w:p>
    <w:p>
      <w:pPr>
        <w:spacing w:before="120" w:after="40"/>
      </w:pPr>
      <w:r>
        <w:rPr>
          <w:b/>
          <w:sz w:val="21"/>
          <w:shd w:fill="D6E4F0" w:val="clear"/>
        </w:rPr>
        <w:t>核心解析</w:t>
      </w:r>
    </w:p>
    <w:p>
      <w:pPr>
        <w:spacing w:line="360" w:lineRule="auto" w:after="40"/>
        <w:ind w:firstLine="420"/>
      </w:pPr>
      <w:r>
        <w:t>教材显示，提交可疑活动报告（SAR）后，金融机构须决定是否保留或关闭受影响账户</w:t>
      </w:r>
      <w:r>
        <w:rPr>
          <w:sz w:val="15"/>
          <w:vertAlign w:val="superscript"/>
        </w:rPr>
        <w:t>P356</w:t>
      </w:r>
      <w:r>
        <w:t>。此外，机构也可在标准审查后因客户活动可疑或自身风险偏好变化而终止现有客户关系</w:t>
      </w:r>
      <w:r>
        <w:rPr>
          <w:sz w:val="15"/>
          <w:vertAlign w:val="superscript"/>
        </w:rPr>
        <w:t>P364</w:t>
      </w:r>
      <w:r>
        <w:t>。本题中，选项 D 描述的是“引发多份可疑活动报告的交易”：多份 SAR 说明该账户已多次触发机构的可疑交易审查机制，其活动特征已不再是偶然异常，而是呈现出持续、严重的可疑模式。这种反复被报告的情况直接吻合“活动可疑”这一关户理由，金融机构有充分依据据此关闭账户。相比之下，教材举例说明当银行怀疑客户洗钱时可能终止其账户</w:t>
      </w:r>
      <w:r>
        <w:rPr>
          <w:sz w:val="15"/>
          <w:vertAlign w:val="superscript"/>
        </w:rPr>
        <w:t>P238</w:t>
      </w:r>
      <w:r>
        <w:t>，而多份 SAR 的存在本身即是多家机构对该账户活动持怀疑态度的客观记录，因此 D 最能说明金融机构的关户理由。</w:t>
      </w:r>
    </w:p>
    <w:p>
      <w:pPr>
        <w:spacing w:before="120" w:after="40"/>
      </w:pPr>
      <w:r>
        <w:rPr>
          <w:b/>
          <w:sz w:val="21"/>
          <w:shd w:fill="D6E4F0" w:val="clear"/>
        </w:rPr>
        <w:t>教材原句</w:t>
      </w:r>
    </w:p>
    <w:p>
      <w:pPr>
        <w:spacing w:line="360" w:lineRule="auto" w:after="40"/>
        <w:ind w:firstLine="420"/>
      </w:pPr>
      <w:r>
        <w:t>"After filing a suspicious activity report (SAR), financial institutions must decide whether to maintain or close the impacted account."</w:t>
      </w:r>
    </w:p>
    <w:p>
      <w:pPr>
        <w:spacing w:before="120" w:after="40"/>
      </w:pPr>
      <w:r>
        <w:rPr>
          <w:b/>
          <w:sz w:val="21"/>
          <w:shd w:fill="D6E4F0" w:val="clear"/>
        </w:rPr>
        <w:t>A项错误</w:t>
      </w:r>
    </w:p>
    <w:p>
      <w:pPr>
        <w:spacing w:line="360" w:lineRule="auto" w:after="40"/>
        <w:ind w:firstLine="420"/>
      </w:pPr>
      <w:r>
        <w:t>教材指出传票会触发客户审查但不自动导致提交 SAR</w:t>
      </w:r>
      <w:r>
        <w:rPr>
          <w:sz w:val="15"/>
          <w:vertAlign w:val="superscript"/>
        </w:rPr>
        <w:t>P357</w:t>
      </w:r>
      <w:r>
        <w:t>，且执法机构可能要求保持账户开放以协助调查</w:t>
      </w:r>
      <w:r>
        <w:rPr>
          <w:sz w:val="15"/>
          <w:vertAlign w:val="superscript"/>
        </w:rPr>
        <w:t>P362</w:t>
      </w:r>
      <w:r>
        <w:t>。故民事传票与“应关闭账户”的关联不如 D 选项直接——传票本身更可能启动监控而非促发关户。</w:t>
      </w:r>
    </w:p>
    <w:p>
      <w:pPr>
        <w:spacing w:before="120" w:after="40"/>
      </w:pPr>
      <w:r>
        <w:rPr>
          <w:b/>
          <w:sz w:val="21"/>
          <w:shd w:fill="D6E4F0" w:val="clear"/>
        </w:rPr>
        <w:t>B项错误</w:t>
      </w:r>
    </w:p>
    <w:p>
      <w:pPr>
        <w:spacing w:line="360" w:lineRule="auto" w:after="40"/>
        <w:ind w:firstLine="420"/>
      </w:pPr>
      <w:r>
        <w:t>航运公司与特别指定国民有业务往来属于制裁风险信号，但题干仅提及“使用”该航运公司，材料未提供该行为本身直接对应“必须关闭账户”的规则。相比之下 D 选项中多份 SAR 已明确反映持续的可疑活动，更直接匹配教材所述的关户标准。</w:t>
      </w:r>
    </w:p>
    <w:p>
      <w:pPr>
        <w:spacing w:before="120" w:after="40"/>
      </w:pPr>
      <w:r>
        <w:rPr>
          <w:b/>
          <w:sz w:val="21"/>
          <w:shd w:fill="D6E4F0" w:val="clear"/>
        </w:rPr>
        <w:t>C项错误</w:t>
      </w:r>
    </w:p>
    <w:p>
      <w:pPr>
        <w:spacing w:line="360" w:lineRule="auto" w:after="40"/>
        <w:ind w:firstLine="420"/>
      </w:pPr>
      <w:r>
        <w:t>定期固定金额的学费汇款通常是合法的常规交易，题干未提示任何异常特征，材料也未显示此类汇款本身构成可疑活动。该选项缺乏触发关户所需的核心要素——可疑或超出风险偏好，匹配度远低于 D。</w:t>
      </w:r>
    </w:p>
    <w:p>
      <w:pPr>
        <w:spacing w:before="120" w:after="40"/>
      </w:pPr>
      <w:r>
        <w:rPr>
          <w:b/>
          <w:sz w:val="21"/>
          <w:shd w:fill="D6E4F0" w:val="clear"/>
        </w:rPr>
        <w:t>易错提醒</w:t>
      </w:r>
    </w:p>
    <w:p>
      <w:pPr>
        <w:spacing w:line="360" w:lineRule="auto" w:after="40"/>
        <w:ind w:firstLine="420"/>
      </w:pPr>
      <w:r>
        <w:t>易混淆的是“触发审查”与“导致关户”两类条件。传票或与制裁名单的关联虽可能触发审查，但不必然导致关户；多份 SAR 则直接表明客户存在持续、严重的洗钱嫌疑，更直接地匹配教材关于“因活动可疑终止账户”的规则。</w:t>
      </w:r>
    </w:p>
    <w:p>
      <w:pPr>
        <w:spacing w:line="360" w:lineRule="auto" w:after="120"/>
      </w:pPr>
      <w:r/>
    </w:p>
    <w:p>
      <w:pPr>
        <w:spacing w:line="360" w:lineRule="auto" w:after="40"/>
      </w:pPr>
      <w:r>
        <w:t>7. An employee at a financial institution (FI) suspects that one of their co-workers is involved in a financial investment scam syndicate. Which step should be taken next by the employee who has the suspicion? ( )</w:t>
      </w:r>
    </w:p>
    <w:p>
      <w:pPr>
        <w:spacing w:line="360" w:lineRule="auto" w:after="20"/>
        <w:ind w:firstLine="283"/>
      </w:pPr>
      <w:r>
        <w:t>A. Question their co-worker to determine if their suspicions are correct before reporting to the FI's Human Resources department</w:t>
      </w:r>
    </w:p>
    <w:p>
      <w:pPr>
        <w:spacing w:line="360" w:lineRule="auto" w:after="20"/>
        <w:ind w:firstLine="283"/>
      </w:pPr>
      <w:r>
        <w:t>B. Use the FI's whistleblowing channel to report the suspected employee</w:t>
      </w:r>
    </w:p>
    <w:p>
      <w:pPr>
        <w:spacing w:line="360" w:lineRule="auto" w:after="20"/>
        <w:ind w:firstLine="283"/>
      </w:pPr>
      <w:r>
        <w:t>C. Warn colleagues and customers of the FI that the employee's suspicious financial investment proposals could be a scam</w:t>
      </w:r>
    </w:p>
    <w:p>
      <w:pPr>
        <w:spacing w:line="360" w:lineRule="auto" w:after="20"/>
        <w:ind w:firstLine="283"/>
      </w:pPr>
      <w:r>
        <w:t>D. Conduct an open-source intelligence investigation using artificial intelligence tools to gain more information on the activities of the suspected employee</w:t>
      </w:r>
    </w:p>
    <w:p>
      <w:pPr>
        <w:spacing w:line="360" w:lineRule="auto" w:after="20"/>
        <w:ind w:firstLine="283"/>
      </w:pPr>
      <w:r>
        <w:t>E. Report the suspected employee to the line manager of the FI to take the required action</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内部举报机制与报告义务——员工怀疑同事涉罪时的正确程序</w:t>
      </w:r>
    </w:p>
    <w:p>
      <w:pPr>
        <w:spacing w:before="120" w:after="40"/>
      </w:pPr>
      <w:r>
        <w:rPr>
          <w:b/>
          <w:sz w:val="21"/>
          <w:shd w:fill="D6E4F0" w:val="clear"/>
        </w:rPr>
        <w:t>核心解析</w:t>
      </w:r>
    </w:p>
    <w:p>
      <w:pPr>
        <w:spacing w:line="360" w:lineRule="auto" w:after="40"/>
        <w:ind w:firstLine="420"/>
      </w:pPr>
      <w:r>
        <w:t>机构应制定政策和程序，使员工能够向指定的合规官报告可疑情况</w:t>
      </w:r>
      <w:r>
        <w:rPr>
          <w:sz w:val="15"/>
          <w:vertAlign w:val="superscript"/>
        </w:rPr>
        <w:t>P351</w:t>
      </w:r>
      <w:r>
        <w:t>。合规官负责评估信息并决定应采取的行动</w:t>
      </w:r>
      <w:r>
        <w:rPr>
          <w:sz w:val="15"/>
          <w:vertAlign w:val="superscript"/>
        </w:rPr>
        <w:t>P351</w:t>
      </w:r>
      <w:r>
        <w:t>。题干中员工怀疑同事参与金融投资诈骗——这属于“怀疑内部人员涉及金融犯罪”的情形。此时，员工个人既不应自行调查（可能构成通风报信，P336），也不应扩散信息（可能损害调查保密性，P341），更不应越权绕过组织既定的报告层级。教材明确将举报机制（Whistleblowing）列为金融犯罪防控的重要组成部分</w:t>
      </w:r>
      <w:r>
        <w:rPr>
          <w:sz w:val="15"/>
          <w:vertAlign w:val="superscript"/>
        </w:rPr>
        <w:t>P173</w:t>
      </w:r>
      <w:r>
        <w:t>。因此，最符合教材程序要求的下一步，是利用FI的举报渠道上报——由指定合规官接收信息、评估并决定后续行动，这与教材规定的报告义务和程序框架直接吻合。</w:t>
      </w:r>
    </w:p>
    <w:p>
      <w:pPr>
        <w:spacing w:before="120" w:after="40"/>
      </w:pPr>
      <w:r>
        <w:rPr>
          <w:b/>
          <w:sz w:val="21"/>
          <w:shd w:fill="D6E4F0" w:val="clear"/>
        </w:rPr>
        <w:t>教材原句</w:t>
      </w:r>
    </w:p>
    <w:p>
      <w:pPr>
        <w:spacing w:line="360" w:lineRule="auto" w:after="40"/>
        <w:ind w:firstLine="420"/>
      </w:pPr>
      <w:r>
        <w:t>"It is important that organizations implement policies and procedures to enable staff to report their suspicions to an assigned compliance officer."</w:t>
      </w:r>
    </w:p>
    <w:p>
      <w:pPr>
        <w:spacing w:before="120" w:after="40"/>
      </w:pPr>
      <w:r>
        <w:rPr>
          <w:b/>
          <w:sz w:val="21"/>
          <w:shd w:fill="D6E4F0" w:val="clear"/>
        </w:rPr>
        <w:t>A项错误</w:t>
      </w:r>
    </w:p>
    <w:p>
      <w:pPr>
        <w:spacing w:line="360" w:lineRule="auto" w:after="40"/>
        <w:ind w:firstLine="420"/>
      </w:pPr>
      <w:r>
        <w:t>直接询问同事（即涉嫌对象本人）存在向调查对象通风报信（tipping off）的风险。教材指出，通风报信在某些情况下属于重罪，员工可能因此面临刑事指控</w:t>
      </w:r>
      <w:r>
        <w:rPr>
          <w:sz w:val="15"/>
          <w:vertAlign w:val="superscript"/>
        </w:rPr>
        <w:t>P336</w:t>
      </w:r>
      <w:r>
        <w:t>，且调查必须避免此类行为</w:t>
      </w:r>
      <w:r>
        <w:rPr>
          <w:sz w:val="15"/>
          <w:vertAlign w:val="superscript"/>
        </w:rPr>
        <w:t>P327</w:t>
      </w:r>
      <w:r>
        <w:t>。相比之下，B选项通过举报渠道上报更符合教材对保密性和程序合规的要求。</w:t>
      </w:r>
    </w:p>
    <w:p>
      <w:pPr>
        <w:spacing w:before="120" w:after="40"/>
      </w:pPr>
      <w:r>
        <w:rPr>
          <w:b/>
          <w:sz w:val="21"/>
          <w:shd w:fill="D6E4F0" w:val="clear"/>
        </w:rPr>
        <w:t>C项错误</w:t>
      </w:r>
    </w:p>
    <w:p>
      <w:pPr>
        <w:spacing w:line="360" w:lineRule="auto" w:after="40"/>
        <w:ind w:firstLine="420"/>
      </w:pPr>
      <w:r>
        <w:t>提醒同事和客户该员工的投资建议可能是骗局，会将未核实的怀疑扩散至组织内外，既可能构成通风报信，也严重损害内部调查的保密性。教材在内部调查一段中强调需考虑保密、保护组织与员工等因素</w:t>
      </w:r>
      <w:r>
        <w:rPr>
          <w:sz w:val="15"/>
          <w:vertAlign w:val="superscript"/>
        </w:rPr>
        <w:t>P341</w:t>
      </w:r>
      <w:r>
        <w:t>。题干未赋予该员工核实和对外警示的权限，此做法不如走正规举报渠道稳妥。</w:t>
      </w:r>
    </w:p>
    <w:p>
      <w:pPr>
        <w:spacing w:before="120" w:after="40"/>
      </w:pPr>
      <w:r>
        <w:rPr>
          <w:b/>
          <w:sz w:val="21"/>
          <w:shd w:fill="D6E4F0" w:val="clear"/>
        </w:rPr>
        <w:t>D项错误</w:t>
      </w:r>
    </w:p>
    <w:p>
      <w:pPr>
        <w:spacing w:line="360" w:lineRule="auto" w:after="40"/>
        <w:ind w:firstLine="420"/>
      </w:pPr>
      <w:r>
        <w:t>教材在交易监控增强尽职调查的语境下提及使用开源情报（OSINT）进行研究</w:t>
      </w:r>
      <w:r>
        <w:rPr>
          <w:sz w:val="15"/>
          <w:vertAlign w:val="superscript"/>
        </w:rPr>
        <w:t>P334</w:t>
      </w:r>
      <w:r>
        <w:t>，也曾在供应商尽职调查中举例使用开源情报筛查董事</w:t>
      </w:r>
      <w:r>
        <w:rPr>
          <w:sz w:val="15"/>
          <w:vertAlign w:val="superscript"/>
        </w:rPr>
        <w:t>P324</w:t>
      </w:r>
      <w:r>
        <w:t>，但这些均属于正式调查流程中的合规人员职责，而非员工个人在怀疑同事时自行开展的行动。题干中的员工处于“怀疑”阶段，其角色是报告而非调查，教材分配给合规官评估信息和决定行动的职权</w:t>
      </w:r>
      <w:r>
        <w:rPr>
          <w:sz w:val="15"/>
          <w:vertAlign w:val="superscript"/>
        </w:rPr>
        <w:t>P351</w:t>
      </w:r>
      <w:r>
        <w:t>更匹配B选项。</w:t>
      </w:r>
    </w:p>
    <w:p>
      <w:pPr>
        <w:spacing w:before="120" w:after="40"/>
      </w:pPr>
      <w:r>
        <w:rPr>
          <w:b/>
          <w:sz w:val="21"/>
          <w:shd w:fill="D6E4F0" w:val="clear"/>
        </w:rPr>
        <w:t>E项错误</w:t>
      </w:r>
    </w:p>
    <w:p>
      <w:pPr>
        <w:spacing w:line="360" w:lineRule="auto" w:after="40"/>
        <w:ind w:firstLine="420"/>
      </w:pPr>
      <w:r>
        <w:t>报告给直属经理看似符合层级汇报逻辑，但教材明确要求机构建立政策和程序使员工可向“指定的合规官”报告可疑情况</w:t>
      </w:r>
      <w:r>
        <w:rPr>
          <w:sz w:val="15"/>
          <w:vertAlign w:val="superscript"/>
        </w:rPr>
        <w:t>P351</w:t>
      </w:r>
      <w:r>
        <w:t>，并提供清晰的举报渠道。举报机制的存在正是为了确保信息不被中间层级过滤或延误。在举报渠道可用的情况下，B选项比直接报告直属经理更直接匹配教材对内部报告程序的设计。</w:t>
      </w:r>
    </w:p>
    <w:p>
      <w:pPr>
        <w:spacing w:before="120" w:after="40"/>
      </w:pPr>
      <w:r>
        <w:rPr>
          <w:b/>
          <w:sz w:val="21"/>
          <w:shd w:fill="D6E4F0" w:val="clear"/>
        </w:rPr>
        <w:t>易错提醒</w:t>
      </w:r>
    </w:p>
    <w:p>
      <w:pPr>
        <w:spacing w:line="360" w:lineRule="auto" w:after="40"/>
        <w:ind w:firstLine="420"/>
      </w:pPr>
      <w:r>
        <w:t>“自行调查”vs“报告”：员工个人的职责边界是报告可疑情况，而非开展调查。教材将调查职责分配给合规官或指定调查人员</w:t>
      </w:r>
      <w:r>
        <w:rPr>
          <w:sz w:val="15"/>
          <w:vertAlign w:val="superscript"/>
        </w:rPr>
        <w:t>P341、P351</w:t>
      </w:r>
      <w:r>
        <w:t>，员工越权询问涉嫌对象或自行搜索证据，可能构成通风报信（tipping off），这在某些司法管辖区属于重罪</w:t>
      </w:r>
      <w:r>
        <w:rPr>
          <w:sz w:val="15"/>
          <w:vertAlign w:val="superscript"/>
        </w:rPr>
        <w:t>P336</w:t>
      </w:r>
      <w:r>
        <w:t>。判断标准是：怀疑发生后，是选择“上报给指定渠道”还是选择“自己动手查/问/扩散”。</w:t>
      </w:r>
    </w:p>
    <w:p>
      <w:pPr>
        <w:spacing w:line="360" w:lineRule="auto" w:after="120"/>
      </w:pPr>
      <w:r/>
    </w:p>
    <w:p>
      <w:pPr>
        <w:spacing w:line="360" w:lineRule="auto" w:after="40"/>
      </w:pPr>
      <w:r>
        <w:t>8. A compliance officer at a large bank has been tasked with investigating a series of unusual transactions involving a long-time customer. The customer has made several large cash deposits into multiple accounts within a short period, raising red flags. After gathering and analyzing transaction data, reviewing customer records, and cross-referencing external sources, the compliance officer determines that there is a reasonable suspicion of money laundering. As part of documenting this investigation, the compliance officer must decide how and when to escalate the matter internally and whether to file a suspicious activity report (SAR). What is the next critical step in this process? ( )</w:t>
      </w:r>
    </w:p>
    <w:p>
      <w:pPr>
        <w:spacing w:line="360" w:lineRule="auto" w:after="20"/>
        <w:ind w:firstLine="283"/>
      </w:pPr>
      <w:r>
        <w:t>A. Document the customer's transaction history and keep the investigation confidential until further suspicious activity is detected</w:t>
      </w:r>
    </w:p>
    <w:p>
      <w:pPr>
        <w:spacing w:line="360" w:lineRule="auto" w:after="20"/>
        <w:ind w:firstLine="283"/>
      </w:pPr>
      <w:r>
        <w:t>B. Immediately escalate the case to senior management, recommending the closure of the customer's accounts due to potential reputational risk</w:t>
      </w:r>
    </w:p>
    <w:p>
      <w:pPr>
        <w:spacing w:line="360" w:lineRule="auto" w:after="20"/>
        <w:ind w:firstLine="283"/>
      </w:pPr>
      <w:r>
        <w:t>C. Report the investigation to external auditors and await further guidance before taking any action</w:t>
      </w:r>
    </w:p>
    <w:p>
      <w:pPr>
        <w:spacing w:line="360" w:lineRule="auto" w:after="20"/>
        <w:ind w:firstLine="283"/>
      </w:pPr>
      <w:r>
        <w:t>D. Draft a SAR that includes a detailed chronology of the transactions, customer background and the rationale for suspicion, and submit it to the relevant financial intelligence unit (FIU) within the regulatory timelines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合理怀疑洗钱后必须及时提交SAR，并包含规定内容</w:t>
      </w:r>
    </w:p>
    <w:p>
      <w:pPr>
        <w:spacing w:before="120" w:after="40"/>
      </w:pPr>
      <w:r>
        <w:rPr>
          <w:b/>
          <w:sz w:val="21"/>
          <w:shd w:fill="D6E4F0" w:val="clear"/>
        </w:rPr>
        <w:t>核心解析</w:t>
      </w:r>
    </w:p>
    <w:p>
      <w:pPr>
        <w:spacing w:line="360" w:lineRule="auto" w:after="40"/>
        <w:ind w:firstLine="420"/>
      </w:pPr>
      <w:r>
        <w:t>教材规定，一旦怀疑或知悉客户从事洗钱等犯罪活动，就应立即建议提交可疑活动报告（SAR）</w:t>
      </w:r>
      <w:r>
        <w:rPr>
          <w:sz w:val="15"/>
          <w:vertAlign w:val="superscript"/>
        </w:rPr>
        <w:t>P352</w:t>
      </w:r>
      <w:r>
        <w:t>。并且，SAR 需要包含客户信息、交易活动、怀疑理由及支持证据</w:t>
      </w:r>
      <w:r>
        <w:rPr>
          <w:sz w:val="15"/>
          <w:vertAlign w:val="superscript"/>
        </w:rPr>
        <w:t>P353</w:t>
      </w:r>
      <w:r>
        <w:t>，同时在监管设定的时限内提交</w:t>
      </w:r>
      <w:r>
        <w:rPr>
          <w:sz w:val="15"/>
          <w:vertAlign w:val="superscript"/>
        </w:rPr>
        <w:t>P352</w:t>
      </w:r>
      <w:r>
        <w:t>。本题中，合规官已经通过分析交易数据、客户记录和外部交叉比对，认定了存在洗钱的合理理由怀疑，此时关键下一步就是在时限内撰拟并提交一份包含交易时间线、客户背景与怀疑理由的 SAR 给金融情报机构（FIU），选项 D 完整覆盖了这些要求。相比之下，提交 SAR 之前不宜先关闭账户（账户决策应在 SAR 之后，P356），也不应等待外部审计员指示（合规官有责任自行评估并决定上报，P351），更不应推迟到再发现更多可疑活动后才行动。</w:t>
      </w:r>
    </w:p>
    <w:p>
      <w:pPr>
        <w:spacing w:before="120" w:after="40"/>
      </w:pPr>
      <w:r>
        <w:rPr>
          <w:b/>
          <w:sz w:val="21"/>
          <w:shd w:fill="D6E4F0" w:val="clear"/>
        </w:rPr>
        <w:t>教材原句</w:t>
      </w:r>
    </w:p>
    <w:p>
      <w:pPr>
        <w:spacing w:line="360" w:lineRule="auto" w:after="40"/>
        <w:ind w:firstLine="420"/>
      </w:pPr>
      <w:r>
        <w:t>"You should recommend a SAR as soon as you suspect, or know, that a person is engaged in money laundering, terrorist financing, or other criminal activity."</w:t>
      </w:r>
    </w:p>
    <w:p>
      <w:pPr>
        <w:spacing w:before="120" w:after="40"/>
      </w:pPr>
      <w:r>
        <w:rPr>
          <w:b/>
          <w:sz w:val="21"/>
          <w:shd w:fill="D6E4F0" w:val="clear"/>
        </w:rPr>
        <w:t>A项错误</w:t>
      </w:r>
    </w:p>
    <w:p>
      <w:pPr>
        <w:spacing w:line="360" w:lineRule="auto" w:after="40"/>
        <w:ind w:firstLine="420"/>
      </w:pPr>
      <w:r>
        <w:t>教材要求一旦活动被认定为可疑，报告时限便开始，必须在规定时限内提交 SAR</w:t>
      </w:r>
      <w:r>
        <w:rPr>
          <w:sz w:val="15"/>
          <w:vertAlign w:val="superscript"/>
        </w:rPr>
        <w:t>P352</w:t>
      </w:r>
      <w:r>
        <w:t>，而 A 主张等到发现“进一步可疑活动”后再处理，不符合及时提交的监管要求。题干已明确合规官已有合理理由怀疑洗钱，无需也不应等待更多信号才行动，D 则直接满足报告义务。</w:t>
      </w:r>
    </w:p>
    <w:p>
      <w:pPr>
        <w:spacing w:before="120" w:after="40"/>
      </w:pPr>
      <w:r>
        <w:rPr>
          <w:b/>
          <w:sz w:val="21"/>
          <w:shd w:fill="D6E4F0" w:val="clear"/>
        </w:rPr>
        <w:t>B项错误</w:t>
      </w:r>
    </w:p>
    <w:p>
      <w:pPr>
        <w:spacing w:line="360" w:lineRule="auto" w:after="40"/>
        <w:ind w:firstLine="420"/>
      </w:pPr>
      <w:r>
        <w:t>教材明确，账户保留或关闭的决定应在提交 SAR 之后，依据机构风险偏好和执法要求作出</w:t>
      </w:r>
      <w:r>
        <w:rPr>
          <w:sz w:val="15"/>
          <w:vertAlign w:val="superscript"/>
        </w:rPr>
        <w:t>P356</w:t>
      </w:r>
      <w:r>
        <w:t>。B 跳过了提交 SAR 这一步，直接建议关闭账户，且以“潜在声誉风险”为主要理由，而题干核心是洗钱怀疑，反洗钱框架更强调先履行法定报告义务，D 的路径更符合流程逻辑。</w:t>
      </w:r>
    </w:p>
    <w:p>
      <w:pPr>
        <w:spacing w:before="120" w:after="40"/>
      </w:pPr>
      <w:r>
        <w:rPr>
          <w:b/>
          <w:sz w:val="21"/>
          <w:shd w:fill="D6E4F0" w:val="clear"/>
        </w:rPr>
        <w:t>C项错误</w:t>
      </w:r>
    </w:p>
    <w:p>
      <w:pPr>
        <w:spacing w:line="360" w:lineRule="auto" w:after="40"/>
        <w:ind w:firstLine="420"/>
      </w:pPr>
      <w:r>
        <w:t>教材指出，合规官负责评估信息并决定应采取的行动，若需对外报告，最通常的做法是向主管机构提交 SAR</w:t>
      </w:r>
      <w:r>
        <w:rPr>
          <w:sz w:val="15"/>
          <w:vertAlign w:val="superscript"/>
        </w:rPr>
        <w:t>P351</w:t>
      </w:r>
      <w:r>
        <w:t>。外部审计员并非接收可疑活动报告的义务对象，等待其指示会延误法定报告时限，与监管要求不符。D 直接向 FIU 提交 SAR，更贴合合规官的职责和报告路径。</w:t>
      </w:r>
    </w:p>
    <w:p>
      <w:pPr>
        <w:spacing w:before="120" w:after="40"/>
      </w:pPr>
      <w:r>
        <w:rPr>
          <w:b/>
          <w:sz w:val="21"/>
          <w:shd w:fill="D6E4F0" w:val="clear"/>
        </w:rPr>
        <w:t>易错提醒</w:t>
      </w:r>
    </w:p>
    <w:p>
      <w:pPr>
        <w:spacing w:line="360" w:lineRule="auto" w:after="40"/>
        <w:ind w:firstLine="420"/>
      </w:pPr>
      <w:r>
        <w:t>一旦形成合理怀疑就必须及时提交 SAR，而不是先关闭账户或等待外部指令；账户是否关闭是提交 SAR 之后的决策</w:t>
      </w:r>
      <w:r>
        <w:rPr>
          <w:sz w:val="15"/>
          <w:vertAlign w:val="superscript"/>
        </w:rPr>
        <w:t>P356</w:t>
      </w:r>
      <w:r>
        <w:t>。</w:t>
      </w:r>
    </w:p>
    <w:p>
      <w:pPr>
        <w:spacing w:line="360" w:lineRule="auto" w:after="120"/>
      </w:pPr>
      <w:r/>
    </w:p>
    <w:p>
      <w:pPr>
        <w:spacing w:line="360" w:lineRule="auto" w:after="40"/>
      </w:pPr>
      <w:r>
        <w:t>9. According to the Financial Action Task Force (FATF) recommendation regarding "tipping off," which of the following statements accurately describes the obligations of reporting entities? ( )</w:t>
      </w:r>
    </w:p>
    <w:p>
      <w:pPr>
        <w:spacing w:line="360" w:lineRule="auto" w:after="20"/>
        <w:ind w:firstLine="283"/>
      </w:pPr>
      <w:r>
        <w:t>A. Reporting entities are prohibited from disclosing to clients or third parties that a suspicious activity report (SAR) has been filed or that an investigation is ongoing</w:t>
      </w:r>
    </w:p>
    <w:p>
      <w:pPr>
        <w:spacing w:line="360" w:lineRule="auto" w:after="20"/>
        <w:ind w:firstLine="283"/>
      </w:pPr>
      <w:r>
        <w:t>B. Reporting entities can share general information about suspicious activities internally within the organization without compromising confidentiality</w:t>
      </w:r>
    </w:p>
    <w:p>
      <w:pPr>
        <w:spacing w:line="360" w:lineRule="auto" w:after="20"/>
        <w:ind w:firstLine="283"/>
      </w:pPr>
      <w:r>
        <w:t>C. Reporting entities must inform their clients if a suspicious activity report (SAR) has been filed as part of maintaining transparency in customer relations</w:t>
      </w:r>
    </w:p>
    <w:p>
      <w:pPr>
        <w:spacing w:line="360" w:lineRule="auto" w:after="20"/>
        <w:ind w:firstLine="283"/>
      </w:pPr>
      <w:r>
        <w:t>D. Reporting entities may discuss suspicious activity with the client before filing a suspicious activity report if doing so would help clarify the situation</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FATF 禁止向客户披露 SAR 提交情况的核心反泄密原则</w:t>
      </w:r>
    </w:p>
    <w:p>
      <w:pPr>
        <w:spacing w:before="120" w:after="40"/>
      </w:pPr>
      <w:r>
        <w:rPr>
          <w:b/>
          <w:sz w:val="21"/>
          <w:shd w:fill="D6E4F0" w:val="clear"/>
        </w:rPr>
        <w:t>核心解析</w:t>
      </w:r>
    </w:p>
    <w:p>
      <w:pPr>
        <w:spacing w:line="360" w:lineRule="auto" w:after="40"/>
        <w:ind w:firstLine="420"/>
      </w:pPr>
      <w:r>
        <w:t>向客户披露可疑活动报告内容构成一项被禁止的违法行为，称为“通风报信”</w:t>
      </w:r>
      <w:r>
        <w:rPr>
          <w:sz w:val="15"/>
          <w:vertAlign w:val="superscript"/>
        </w:rPr>
        <w:t>P353</w:t>
      </w:r>
      <w:r>
        <w:t>。法规禁止金融机构向除执法机构外的任何人披露 SAR，或任何能表明已提交 SAR 的信息</w:t>
      </w:r>
      <w:r>
        <w:rPr>
          <w:sz w:val="15"/>
          <w:vertAlign w:val="superscript"/>
        </w:rPr>
        <w:t>P353</w:t>
      </w:r>
      <w:r>
        <w:t>。本题中，选项 A 准确表达了这一核心义务——报告实体不得向客户或第三方披露 SAR 已提交或正在受调查的情况，直接对应教材中对“通风报信”的禁止性规定。</w:t>
      </w:r>
    </w:p>
    <w:p>
      <w:pPr>
        <w:spacing w:before="120" w:after="40"/>
      </w:pPr>
      <w:r>
        <w:rPr>
          <w:b/>
          <w:sz w:val="21"/>
          <w:shd w:fill="D6E4F0" w:val="clear"/>
        </w:rPr>
        <w:t>B项错误</w:t>
      </w:r>
    </w:p>
    <w:p>
      <w:pPr>
        <w:spacing w:line="360" w:lineRule="auto" w:after="40"/>
        <w:ind w:firstLine="420"/>
      </w:pPr>
      <w:r>
        <w:t>教材指出，即使在机构内部，SAR 也应谨慎处理，并非所有人都应有权访问此类信息</w:t>
      </w:r>
      <w:r>
        <w:rPr>
          <w:sz w:val="15"/>
          <w:vertAlign w:val="superscript"/>
        </w:rPr>
        <w:t>P352</w:t>
      </w:r>
      <w:r>
        <w:t>。这意味着内部共享有严格的访问限制，而非可以随意分享“一般信息”。相比之下，A 的禁止性义务更直接吻合 FATF 对“通风报信”的核心规定。</w:t>
      </w:r>
    </w:p>
    <w:p>
      <w:pPr>
        <w:spacing w:before="120" w:after="40"/>
      </w:pPr>
      <w:r>
        <w:rPr>
          <w:b/>
          <w:sz w:val="21"/>
          <w:shd w:fill="D6E4F0" w:val="clear"/>
        </w:rPr>
        <w:t>C项错误</w:t>
      </w:r>
    </w:p>
    <w:p>
      <w:pPr>
        <w:spacing w:line="360" w:lineRule="auto" w:after="40"/>
        <w:ind w:firstLine="420"/>
      </w:pPr>
      <w:r>
        <w:t>向客户披露 SAR 内容直接构成“通风报信”违法行为</w:t>
      </w:r>
      <w:r>
        <w:rPr>
          <w:sz w:val="15"/>
          <w:vertAlign w:val="superscript"/>
        </w:rPr>
        <w:t>P353</w:t>
      </w:r>
      <w:r>
        <w:t>。以“透明度”为由告知客户与 FATF 规则完全相反。题干更支持 A 的禁止立场，而非 C 的主动告知要求。</w:t>
      </w:r>
    </w:p>
    <w:p>
      <w:pPr>
        <w:spacing w:before="120" w:after="40"/>
      </w:pPr>
      <w:r>
        <w:rPr>
          <w:b/>
          <w:sz w:val="21"/>
          <w:shd w:fill="D6E4F0" w:val="clear"/>
        </w:rPr>
        <w:t>D项错误</w:t>
      </w:r>
    </w:p>
    <w:p>
      <w:pPr>
        <w:spacing w:line="360" w:lineRule="auto" w:after="40"/>
        <w:ind w:firstLine="420"/>
      </w:pPr>
      <w:r>
        <w:t>教材提到，在决定提交 SAR 之前，机构可能需要进一步调研以获取更多信息</w:t>
      </w:r>
      <w:r>
        <w:rPr>
          <w:sz w:val="15"/>
          <w:vertAlign w:val="superscript"/>
        </w:rPr>
        <w:t>P346</w:t>
      </w:r>
      <w:r>
        <w:t>，但从未允许与客户讨论可疑活动。与客户讨论实质上是变相“通风报信”，与 A 的禁止义务根本冲突。</w:t>
      </w:r>
    </w:p>
    <w:p>
      <w:pPr>
        <w:spacing w:before="120" w:after="40"/>
      </w:pPr>
      <w:r>
        <w:rPr>
          <w:b/>
          <w:sz w:val="21"/>
          <w:shd w:fill="D6E4F0" w:val="clear"/>
        </w:rPr>
        <w:t>易错提醒</w:t>
      </w:r>
    </w:p>
    <w:p>
      <w:pPr>
        <w:spacing w:line="360" w:lineRule="auto" w:after="40"/>
        <w:ind w:firstLine="420"/>
      </w:pPr>
      <w:r>
        <w:t>“通风报信”不仅禁止直接说“我们已提交了您的 SAR”，也禁止任何能暗示客户正被调查的信息。对内部人员同样有限制，不是所有员工都有权接触 SAR。</w:t>
      </w:r>
    </w:p>
    <w:p>
      <w:pPr>
        <w:spacing w:line="360" w:lineRule="auto" w:after="120"/>
      </w:pPr>
      <w:r/>
    </w:p>
    <w:p>
      <w:pPr>
        <w:spacing w:line="360" w:lineRule="auto" w:after="40"/>
      </w:pPr>
      <w:r>
        <w:t>10. An employee at a financial institution (FI) suspects that one of their co-workers is involved in a financial investment scam syndicate. Which step should be taken next by the employee who has the suspicion? ( )</w:t>
      </w:r>
    </w:p>
    <w:p>
      <w:pPr>
        <w:spacing w:line="360" w:lineRule="auto" w:after="20"/>
        <w:ind w:firstLine="283"/>
      </w:pPr>
      <w:r>
        <w:t>A. Conduct an open-source intelligence investigation using artificial intelligence tools to gain more information on the activities of the suspected employee</w:t>
      </w:r>
    </w:p>
    <w:p>
      <w:pPr>
        <w:spacing w:line="360" w:lineRule="auto" w:after="20"/>
        <w:ind w:firstLine="283"/>
      </w:pPr>
      <w:r>
        <w:t>B. Use the FI's whistleblowing channel to report the suspected employee</w:t>
      </w:r>
    </w:p>
    <w:p>
      <w:pPr>
        <w:spacing w:line="360" w:lineRule="auto" w:after="20"/>
        <w:ind w:firstLine="283"/>
      </w:pPr>
      <w:r>
        <w:t>C. Question their co-worker to determine if their suspicions are correct before reporting to the FI's Human Resources department</w:t>
      </w:r>
    </w:p>
    <w:p>
      <w:pPr>
        <w:spacing w:line="360" w:lineRule="auto" w:after="20"/>
        <w:ind w:firstLine="283"/>
      </w:pPr>
      <w:r>
        <w:t>D. Warn colleagues and customers that the suspicious financial investment recommendation made by the employee may be a scam</w:t>
      </w:r>
    </w:p>
    <w:p>
      <w:pPr>
        <w:spacing w:line="360" w:lineRule="auto" w:after="20"/>
        <w:ind w:firstLine="283"/>
      </w:pPr>
      <w:r>
        <w:t>E. Report the employee suspected of violating rules to the FI's direct manager, who will take the necessary action</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怀疑同事违规应通过机构举报渠道上报合规官</w:t>
      </w:r>
    </w:p>
    <w:p>
      <w:pPr>
        <w:spacing w:before="120" w:after="40"/>
      </w:pPr>
      <w:r>
        <w:rPr>
          <w:b/>
          <w:sz w:val="21"/>
          <w:shd w:fill="D6E4F0" w:val="clear"/>
        </w:rPr>
        <w:t>核心解析</w:t>
      </w:r>
    </w:p>
    <w:p>
      <w:pPr>
        <w:spacing w:line="360" w:lineRule="auto" w:after="40"/>
        <w:ind w:firstLine="420"/>
      </w:pPr>
      <w:r>
        <w:t>教材规定，机构应制定政策和程序，使员工能够向指定合规官报告可疑情况</w:t>
      </w:r>
      <w:r>
        <w:rPr>
          <w:sz w:val="15"/>
          <w:vertAlign w:val="superscript"/>
        </w:rPr>
        <w:t>P351</w:t>
      </w:r>
      <w:r>
        <w:t>。所有调查行动必须遵守法律与组织政策，尤其须避免通风报信，向调查对象泄露信息在某些法域是重罪</w:t>
      </w:r>
      <w:r>
        <w:rPr>
          <w:sz w:val="15"/>
          <w:vertAlign w:val="superscript"/>
        </w:rPr>
        <w:t>P336</w:t>
      </w:r>
      <w:r>
        <w:t>。题干中员工怀疑同事参与金融投资诈骗，属于应报告的可疑行为。因此，员工下一步应使用金融机构的举报渠道举报，而非自行调查、询问同事或警告他人。这符合教材对内部报告路径的要求，既保护员工，也避免妨碍正式调查。</w:t>
      </w:r>
    </w:p>
    <w:p>
      <w:pPr>
        <w:spacing w:before="120" w:after="40"/>
      </w:pPr>
      <w:r>
        <w:rPr>
          <w:b/>
          <w:sz w:val="21"/>
          <w:shd w:fill="D6E4F0" w:val="clear"/>
        </w:rPr>
        <w:t>教材原句</w:t>
      </w:r>
    </w:p>
    <w:p>
      <w:pPr>
        <w:spacing w:line="360" w:lineRule="auto" w:after="40"/>
        <w:ind w:firstLine="420"/>
      </w:pPr>
      <w:r>
        <w:t>"It is important that organizations implement policies and procedures to enable staff to report their suspicions to an assigned compliance officer."</w:t>
      </w:r>
    </w:p>
    <w:p>
      <w:pPr>
        <w:spacing w:before="120" w:after="40"/>
      </w:pPr>
      <w:r>
        <w:rPr>
          <w:b/>
          <w:sz w:val="21"/>
          <w:shd w:fill="D6E4F0" w:val="clear"/>
        </w:rPr>
        <w:t>A项错误</w:t>
      </w:r>
    </w:p>
    <w:p>
      <w:pPr>
        <w:spacing w:line="360" w:lineRule="auto" w:after="40"/>
        <w:ind w:firstLine="420"/>
      </w:pPr>
      <w:r>
        <w:t>开源情报调查在教材中属于正式调查阶段的工具</w:t>
      </w:r>
      <w:r>
        <w:rPr>
          <w:sz w:val="15"/>
          <w:vertAlign w:val="superscript"/>
        </w:rPr>
        <w:t>P324、P334</w:t>
      </w:r>
      <w:r>
        <w:t>，而员工刚产生怀疑时应首先报告，而非自行收集信息，A 的步骤不如直接使用举报渠道符合教材对员工报告义务的规定。</w:t>
      </w:r>
    </w:p>
    <w:p>
      <w:pPr>
        <w:spacing w:before="120" w:after="40"/>
      </w:pPr>
      <w:r>
        <w:rPr>
          <w:b/>
          <w:sz w:val="21"/>
          <w:shd w:fill="D6E4F0" w:val="clear"/>
        </w:rPr>
        <w:t>C项错误</w:t>
      </w:r>
    </w:p>
    <w:p>
      <w:pPr>
        <w:spacing w:line="360" w:lineRule="auto" w:after="40"/>
        <w:ind w:firstLine="420"/>
      </w:pPr>
      <w:r>
        <w:t>向同事询问会构成通风报信，教材强调必须避免向潜在调查对象透露调查信息，通风报信在某些法域属于重罪</w:t>
      </w:r>
      <w:r>
        <w:rPr>
          <w:sz w:val="15"/>
          <w:vertAlign w:val="superscript"/>
        </w:rPr>
        <w:t>P336</w:t>
      </w:r>
      <w:r>
        <w:t>。因此，员工不应直接质询同事，而应通过举报渠道报告。</w:t>
      </w:r>
    </w:p>
    <w:p>
      <w:pPr>
        <w:spacing w:before="120" w:after="40"/>
      </w:pPr>
      <w:r>
        <w:rPr>
          <w:b/>
          <w:sz w:val="21"/>
          <w:shd w:fill="D6E4F0" w:val="clear"/>
        </w:rPr>
        <w:t>D项错误</w:t>
      </w:r>
    </w:p>
    <w:p>
      <w:pPr>
        <w:spacing w:line="360" w:lineRule="auto" w:after="40"/>
        <w:ind w:firstLine="420"/>
      </w:pPr>
      <w:r>
        <w:t>提醒同事和客户等同于通风报信，教材要求在有金融犯罪嫌疑时不得向客户或潜在对象泄密</w:t>
      </w:r>
      <w:r>
        <w:rPr>
          <w:sz w:val="15"/>
          <w:vertAlign w:val="superscript"/>
        </w:rPr>
        <w:t>P364、P336</w:t>
      </w:r>
      <w:r>
        <w:t>，这会打草惊蛇并可能使员工面临法律责任。</w:t>
      </w:r>
    </w:p>
    <w:p>
      <w:pPr>
        <w:spacing w:before="120" w:after="40"/>
      </w:pPr>
      <w:r>
        <w:rPr>
          <w:b/>
          <w:sz w:val="21"/>
          <w:shd w:fill="D6E4F0" w:val="clear"/>
        </w:rPr>
        <w:t>E项错误</w:t>
      </w:r>
    </w:p>
    <w:p>
      <w:pPr>
        <w:spacing w:line="360" w:lineRule="auto" w:after="40"/>
        <w:ind w:firstLine="420"/>
      </w:pPr>
      <w:r>
        <w:t>教材规定可疑情况应向指定合规官报告</w:t>
      </w:r>
      <w:r>
        <w:rPr>
          <w:sz w:val="15"/>
          <w:vertAlign w:val="superscript"/>
        </w:rPr>
        <w:t>P351</w:t>
      </w:r>
      <w:r>
        <w:t>，而非仅报告给直属经理。员工使用正式举报渠道才能确保遵循政策和保护程序，E 的路径不如 B 直接对应教材设计的报告机制。</w:t>
      </w:r>
    </w:p>
    <w:p>
      <w:pPr>
        <w:spacing w:before="120" w:after="40"/>
      </w:pPr>
      <w:r>
        <w:rPr>
          <w:b/>
          <w:sz w:val="21"/>
          <w:shd w:fill="D6E4F0" w:val="clear"/>
        </w:rPr>
        <w:t>易错提醒</w:t>
      </w:r>
    </w:p>
    <w:p>
      <w:pPr>
        <w:spacing w:line="360" w:lineRule="auto" w:after="40"/>
        <w:ind w:firstLine="420"/>
      </w:pPr>
      <w:r>
        <w:t>区分“向合规官举报”与“报告给直属经理或自行调查”：教材要求组织建立举报渠道使员工直接向合规官报告可疑行为</w:t>
      </w:r>
      <w:r>
        <w:rPr>
          <w:sz w:val="15"/>
          <w:vertAlign w:val="superscript"/>
        </w:rPr>
        <w:t>P351</w:t>
      </w:r>
      <w:r>
        <w:t>，以保障保密性并避免通风报信</w:t>
      </w:r>
      <w:r>
        <w:rPr>
          <w:sz w:val="15"/>
          <w:vertAlign w:val="superscript"/>
        </w:rPr>
        <w:t>P336</w:t>
      </w:r>
      <w:r>
        <w:t>。员工不应自行调查或告知他人，须严格按机构举报程序行事。</w:t>
      </w:r>
    </w:p>
    <w:p>
      <w:pPr>
        <w:spacing w:line="360" w:lineRule="auto" w:after="120"/>
      </w:pPr>
      <w:r/>
    </w:p>
    <w:p>
      <w:pPr>
        <w:spacing w:line="360" w:lineRule="auto" w:after="40"/>
      </w:pPr>
      <w:r>
        <w:t>11. A financial institution's transaction monitoring system flags an unusually high volume of international wire transfers originating from a small business account. The transfers are being sent to multiple jurisdictions known for limited regulatory oversight. Additionally, an employee reports suspicious behavior from the account holder during an in-person visit, where they requested a large cash withdrawal without providing a clear business justification. As part of the investigation, the compliance team must assess whether this activity is suspicious and determine the appropriate next steps. Which of the following steps should be taken first in the investigation process to properly gather information and assess whether the transactions are suspicious? ( )</w:t>
      </w:r>
    </w:p>
    <w:p>
      <w:pPr>
        <w:spacing w:line="360" w:lineRule="auto" w:after="20"/>
        <w:ind w:firstLine="283"/>
      </w:pPr>
      <w:r>
        <w:t>A. Review the transaction history of the account to identify patterns, including the frequency, destination, and purpose of the wire transfers</w:t>
      </w:r>
    </w:p>
    <w:p>
      <w:pPr>
        <w:spacing w:line="360" w:lineRule="auto" w:after="20"/>
        <w:ind w:firstLine="283"/>
      </w:pPr>
      <w:r>
        <w:t>B. Notify senior management and suggest account closure due to potential risks</w:t>
      </w:r>
    </w:p>
    <w:p>
      <w:pPr>
        <w:spacing w:line="360" w:lineRule="auto" w:after="20"/>
        <w:ind w:firstLine="283"/>
      </w:pPr>
      <w:r>
        <w:t>C. Immediately file a suspicious activity report (SAR) based on the employee's report of suspicious behavior</w:t>
      </w:r>
    </w:p>
    <w:p>
      <w:pPr>
        <w:spacing w:line="360" w:lineRule="auto" w:after="20"/>
        <w:ind w:firstLine="283"/>
      </w:pPr>
      <w:r>
        <w:t>D. Contact the customer directly to ask for clarification on the reason for the large cash withdrawal</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可疑活动调查的第一步是审查案件事实与交易模式</w:t>
      </w:r>
    </w:p>
    <w:p>
      <w:pPr>
        <w:spacing w:before="120" w:after="40"/>
      </w:pPr>
      <w:r>
        <w:rPr>
          <w:b/>
          <w:sz w:val="21"/>
          <w:shd w:fill="D6E4F0" w:val="clear"/>
        </w:rPr>
        <w:t>核心解析</w:t>
      </w:r>
    </w:p>
    <w:p>
      <w:pPr>
        <w:spacing w:line="360" w:lineRule="auto" w:after="40"/>
        <w:ind w:firstLine="420"/>
      </w:pPr>
      <w:r>
        <w:t>发现异常活动后，机构必须审查案件事实并决定是否提交可疑活动报告</w:t>
      </w:r>
      <w:r>
        <w:rPr>
          <w:sz w:val="15"/>
          <w:vertAlign w:val="superscript"/>
        </w:rPr>
        <w:t>P357</w:t>
      </w:r>
      <w:r>
        <w:t>。调查阶段的具体步骤包括分析交易模式和频率</w:t>
      </w:r>
      <w:r>
        <w:rPr>
          <w:sz w:val="15"/>
          <w:vertAlign w:val="superscript"/>
        </w:rPr>
        <w:t>P334</w:t>
      </w:r>
      <w:r>
        <w:t>，以及审查同一账户或客户过往的交易模式</w:t>
      </w:r>
      <w:r>
        <w:rPr>
          <w:sz w:val="15"/>
          <w:vertAlign w:val="superscript"/>
        </w:rPr>
        <w:t>P337</w:t>
      </w:r>
      <w:r>
        <w:t>。题干中交易监控系统已警示一家小型企业账户向多个监管宽松司法管辖区进行异常高频电汇，员工亦报告客户要求无合理解释的大额现金提取——这构成教材所述的“异常活动”。因此，调查首先应查看该账户的交易历史，识别电汇的频率、目的地和用途等模式，以收集充分事实依据，为后续是否提交可疑活动报告提供支撑。该行动直接对应教材对调查初始步骤的描述，相比其他选项更早处于流程前段。</w:t>
      </w:r>
    </w:p>
    <w:p>
      <w:pPr>
        <w:spacing w:before="120" w:after="40"/>
      </w:pPr>
      <w:r>
        <w:rPr>
          <w:b/>
          <w:sz w:val="21"/>
          <w:shd w:fill="D6E4F0" w:val="clear"/>
        </w:rPr>
        <w:t>教材原句</w:t>
      </w:r>
    </w:p>
    <w:p>
      <w:pPr>
        <w:spacing w:line="360" w:lineRule="auto" w:after="40"/>
        <w:ind w:firstLine="420"/>
      </w:pPr>
      <w:r>
        <w:t>"When they detect unusual activity, they must examine the case facts and decide whether to file a suspicious activity report (SAR)."</w:t>
      </w:r>
    </w:p>
    <w:p>
      <w:pPr>
        <w:spacing w:before="120" w:after="40"/>
      </w:pPr>
      <w:r>
        <w:rPr>
          <w:b/>
          <w:sz w:val="21"/>
          <w:shd w:fill="D6E4F0" w:val="clear"/>
        </w:rPr>
        <w:t>B项错误</w:t>
      </w:r>
    </w:p>
    <w:p>
      <w:pPr>
        <w:spacing w:line="360" w:lineRule="auto" w:after="40"/>
        <w:ind w:firstLine="420"/>
      </w:pPr>
      <w:r>
        <w:t>通知高级管理层并建议关闭账户的决策，在教材流程中属于提交可疑活动报告之后的阶段</w:t>
      </w:r>
      <w:r>
        <w:rPr>
          <w:sz w:val="15"/>
          <w:vertAlign w:val="superscript"/>
        </w:rPr>
        <w:t>P356</w:t>
      </w:r>
      <w:r>
        <w:t>。在调查初期尚未确定交易是否可疑、更未提交报告的情况下，直接建议关闭账户超越了当前应有的调查步骤。</w:t>
      </w:r>
    </w:p>
    <w:p>
      <w:pPr>
        <w:spacing w:before="120" w:after="40"/>
      </w:pPr>
      <w:r>
        <w:rPr>
          <w:b/>
          <w:sz w:val="21"/>
          <w:shd w:fill="D6E4F0" w:val="clear"/>
        </w:rPr>
        <w:t>C项错误</w:t>
      </w:r>
    </w:p>
    <w:p>
      <w:pPr>
        <w:spacing w:line="360" w:lineRule="auto" w:after="40"/>
        <w:ind w:firstLine="420"/>
      </w:pPr>
      <w:r>
        <w:t>提交可疑活动报告应当基于对案件事实的分析和与监管指引的比对</w:t>
      </w:r>
      <w:r>
        <w:rPr>
          <w:sz w:val="15"/>
          <w:vertAlign w:val="superscript"/>
        </w:rPr>
        <w:t>P358</w:t>
      </w:r>
      <w:r>
        <w:t>，而非仅仅依据员工报告。题干描述的步骤尚处于收集信息的初始阶段，此时直接提交报告不如先进行交易审查更能满足“基于风险的方法”的要求。</w:t>
      </w:r>
    </w:p>
    <w:p>
      <w:pPr>
        <w:spacing w:before="120" w:after="40"/>
      </w:pPr>
      <w:r>
        <w:rPr>
          <w:b/>
          <w:sz w:val="21"/>
          <w:shd w:fill="D6E4F0" w:val="clear"/>
        </w:rPr>
        <w:t>D项错误</w:t>
      </w:r>
    </w:p>
    <w:p>
      <w:pPr>
        <w:spacing w:line="360" w:lineRule="auto" w:after="40"/>
        <w:ind w:firstLine="420"/>
      </w:pPr>
      <w:r>
        <w:t>直接联系客户询问现金支取原因，可能带来向客户泄露调查信息的风险，且教材在调查步骤中首先强调的是内部信息分析（如交易数据、KYC 信息），而非在未掌握充足事实前即接触客户。题干条件下，内部审查比外部询问更符合调查逻辑的初始顺序。</w:t>
      </w:r>
    </w:p>
    <w:p>
      <w:pPr>
        <w:spacing w:before="120" w:after="40"/>
      </w:pPr>
      <w:r>
        <w:rPr>
          <w:b/>
          <w:sz w:val="21"/>
          <w:shd w:fill="D6E4F0" w:val="clear"/>
        </w:rPr>
        <w:t>易错提醒</w:t>
      </w:r>
    </w:p>
    <w:p>
      <w:pPr>
        <w:spacing w:line="360" w:lineRule="auto" w:after="40"/>
        <w:ind w:firstLine="420"/>
      </w:pPr>
      <w:r>
        <w:t>区分“发现异常活动”与“提交可疑活动报告”：前者触发内部审查，后者须在分析事实并符合监管指引后方可作出（P357-358）。不能将触发调查的源头等同于已经满足提交条件。</w:t>
      </w:r>
    </w:p>
    <w:p>
      <w:pPr>
        <w:spacing w:line="360" w:lineRule="auto" w:after="120"/>
      </w:pPr>
      <w:r/>
    </w:p>
    <w:p>
      <w:pPr>
        <w:spacing w:line="360" w:lineRule="auto" w:after="40"/>
      </w:pPr>
      <w:r>
        <w:t>12. A compliance officer is completing a case and has determined that the events do not merit filing a suspicious activity report (SAR). Which of the following should be included in the case notes to justify not filing a SAR? (Choose Two.) ( )</w:t>
      </w:r>
    </w:p>
    <w:p>
      <w:pPr>
        <w:spacing w:line="360" w:lineRule="auto" w:after="20"/>
        <w:ind w:firstLine="283"/>
      </w:pPr>
      <w:r>
        <w:t>A. Who made the decision not to file the SAR</w:t>
      </w:r>
    </w:p>
    <w:p>
      <w:pPr>
        <w:spacing w:line="360" w:lineRule="auto" w:after="20"/>
        <w:ind w:firstLine="283"/>
      </w:pPr>
      <w:r>
        <w:t>B. Why the officer deemed that the case did not merit filing a SAR</w:t>
      </w:r>
    </w:p>
    <w:p>
      <w:pPr>
        <w:spacing w:line="360" w:lineRule="auto" w:after="20"/>
        <w:ind w:firstLine="283"/>
      </w:pPr>
      <w:r>
        <w:t>C. How much money was involved in the case</w:t>
      </w:r>
    </w:p>
    <w:p>
      <w:pPr>
        <w:spacing w:line="360" w:lineRule="auto" w:after="20"/>
        <w:ind w:firstLine="283"/>
      </w:pPr>
      <w:r>
        <w:t>D. How the money flowed through the institution</w:t>
      </w:r>
    </w:p>
    <w:p>
      <w:pPr>
        <w:spacing w:line="360" w:lineRule="auto" w:after="20"/>
        <w:ind w:firstLine="283"/>
      </w:pPr>
      <w:r>
        <w:t>E. When the unusual activity occurred</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记录不提交SAR的理由与记录提交同等重要</w:t>
      </w:r>
    </w:p>
    <w:p>
      <w:pPr>
        <w:spacing w:before="120" w:after="40"/>
      </w:pPr>
      <w:r>
        <w:rPr>
          <w:b/>
          <w:sz w:val="21"/>
          <w:shd w:fill="D6E4F0" w:val="clear"/>
        </w:rPr>
        <w:t>核心解析</w:t>
      </w:r>
    </w:p>
    <w:p>
      <w:pPr>
        <w:spacing w:line="360" w:lineRule="auto" w:after="40"/>
        <w:ind w:firstLine="420"/>
      </w:pPr>
      <w:r>
        <w:t>记录不提交可疑活动报告（SAR）的理由与记录提交的决定同等重要</w:t>
      </w:r>
      <w:r>
        <w:rPr>
          <w:sz w:val="15"/>
          <w:vertAlign w:val="superscript"/>
        </w:rPr>
        <w:t>P357</w:t>
      </w:r>
      <w:r>
        <w:t>。在决定不提交SAR时，机构应当全面记录调查发现以及做决定的原因</w:t>
      </w:r>
      <w:r>
        <w:rPr>
          <w:sz w:val="15"/>
          <w:vertAlign w:val="superscript"/>
        </w:rPr>
        <w:t>P358</w:t>
      </w:r>
      <w:r>
        <w:t>。题干中，合规官已确定相关事件无需提交SAR，根据教材的这一框架，案例记录中必须包含两项核心信息：一是“谁做出了不提交SAR的决定”（选项A），以明确决策责任归属；二是“合规官为何认为此案不值得提交SAR”（选项B），即决策背后的推理过程和依据。这两者共同构成不提交决定的完整记录，使监管机构能够理解决策的合理性</w:t>
      </w:r>
      <w:r>
        <w:rPr>
          <w:sz w:val="15"/>
          <w:vertAlign w:val="superscript"/>
        </w:rPr>
        <w:t>P358</w:t>
      </w:r>
      <w:r>
        <w:t>，从而满足合规要求。</w:t>
      </w:r>
    </w:p>
    <w:p>
      <w:pPr>
        <w:spacing w:before="120" w:after="40"/>
      </w:pPr>
      <w:r>
        <w:rPr>
          <w:b/>
          <w:sz w:val="21"/>
          <w:shd w:fill="D6E4F0" w:val="clear"/>
        </w:rPr>
        <w:t>C项错误</w:t>
      </w:r>
    </w:p>
    <w:p>
      <w:pPr>
        <w:spacing w:line="360" w:lineRule="auto" w:after="40"/>
        <w:ind w:firstLine="420"/>
      </w:pPr>
      <w:r>
        <w:t>题干的核心问题是“记录中应包含什么来合理化不提交的决定”，而非“调查阶段应关注什么”。金额规模可能是触发审查的一个因素，但在教材关于不提交SAR的文档记录要求中，并未将案件金额列为必须包含的决策佐证要素，相比之下，A项和B项更直接对应教材对决策记录的定义。</w:t>
      </w:r>
    </w:p>
    <w:p>
      <w:pPr>
        <w:spacing w:before="120" w:after="40"/>
      </w:pPr>
      <w:r>
        <w:rPr>
          <w:b/>
          <w:sz w:val="21"/>
          <w:shd w:fill="D6E4F0" w:val="clear"/>
        </w:rPr>
        <w:t>D项错误</w:t>
      </w:r>
    </w:p>
    <w:p>
      <w:pPr>
        <w:spacing w:line="360" w:lineRule="auto" w:after="40"/>
        <w:ind w:firstLine="420"/>
      </w:pPr>
      <w:r>
        <w:t>资金在机构内部的流动路径可以作为分析异常活动的一部分，但在记录“为什么决定不提交”时，真正需要呈现的是基于这些事实得出的判断和推理，而非事实数据本身。教材强调记录的是“the reasoning behind the decision not to file”，而非逐一罗列所有原始调查数据，因此D项的匹配度低于B项。</w:t>
      </w:r>
    </w:p>
    <w:p>
      <w:pPr>
        <w:spacing w:before="120" w:after="40"/>
      </w:pPr>
      <w:r>
        <w:rPr>
          <w:b/>
          <w:sz w:val="21"/>
          <w:shd w:fill="D6E4F0" w:val="clear"/>
        </w:rPr>
        <w:t>E项错误</w:t>
      </w:r>
    </w:p>
    <w:p>
      <w:pPr>
        <w:spacing w:line="360" w:lineRule="auto" w:after="40"/>
        <w:ind w:firstLine="420"/>
      </w:pPr>
      <w:r>
        <w:t>异常活动发生的时间属于触发审查的原始事实。在已决定不提交的前提下，记录的重心是说明“为什么审查后认为不值得提交”，时间信息本身不直接构成决策理由，题干更支持记录决策主体和决策依据，而非所有调查过程中涉及的时间节点。</w:t>
      </w:r>
    </w:p>
    <w:p>
      <w:pPr>
        <w:spacing w:before="120" w:after="40"/>
      </w:pPr>
      <w:r>
        <w:rPr>
          <w:b/>
          <w:sz w:val="21"/>
          <w:shd w:fill="D6E4F0" w:val="clear"/>
        </w:rPr>
        <w:t>易错提醒</w:t>
      </w:r>
    </w:p>
    <w:p>
      <w:pPr>
        <w:spacing w:line="360" w:lineRule="auto" w:after="40"/>
        <w:ind w:firstLine="420"/>
      </w:pPr>
      <w:r>
        <w:t>调查过程中收集的事实数据（金额、时间、资金流动）与支持决策结论的记录内容是不同的。前者是“发现了什么”，后者是“基于发现判断了什么”。教材要求记录的是后者——即分析步骤和决策背后的推理，而非简单复述原始事实。</w:t>
      </w:r>
    </w:p>
    <w:p>
      <w:pPr>
        <w:spacing w:line="360" w:lineRule="auto" w:after="120"/>
      </w:pPr>
      <w:r/>
    </w:p>
    <w:p>
      <w:pPr>
        <w:spacing w:line="360" w:lineRule="auto" w:after="40"/>
      </w:pPr>
      <w:r>
        <w:t>13. When making an independent determination on whether to close an account based on an internal investigation, a financial institution (FI) should consider: (Select Five.) ( )</w:t>
      </w:r>
    </w:p>
    <w:p>
      <w:pPr>
        <w:spacing w:line="360" w:lineRule="auto" w:after="20"/>
        <w:ind w:firstLine="283"/>
      </w:pPr>
      <w:r>
        <w:t>A. Reputational risk.</w:t>
      </w:r>
    </w:p>
    <w:p>
      <w:pPr>
        <w:spacing w:line="360" w:lineRule="auto" w:after="20"/>
        <w:ind w:firstLine="283"/>
      </w:pPr>
      <w:r>
        <w:t>B. The customer's personal relationships.</w:t>
      </w:r>
    </w:p>
    <w:p>
      <w:pPr>
        <w:spacing w:line="360" w:lineRule="auto" w:after="20"/>
        <w:ind w:firstLine="283"/>
      </w:pPr>
      <w:r>
        <w:t>C. The frequency of account activity.</w:t>
      </w:r>
    </w:p>
    <w:p>
      <w:pPr>
        <w:spacing w:line="360" w:lineRule="auto" w:after="20"/>
        <w:ind w:firstLine="283"/>
      </w:pPr>
      <w:r>
        <w:t>D. The FI's policies and procedures.</w:t>
      </w:r>
    </w:p>
    <w:p>
      <w:pPr>
        <w:spacing w:line="360" w:lineRule="auto" w:after="20"/>
        <w:ind w:firstLine="283"/>
      </w:pPr>
      <w:r>
        <w:t>E. The seriousness of the underlying conduct.</w:t>
      </w:r>
    </w:p>
    <w:p>
      <w:pPr>
        <w:spacing w:line="360" w:lineRule="auto" w:after="20"/>
        <w:ind w:firstLine="283"/>
      </w:pPr>
      <w:r>
        <w:t>F. Correspondence with law enforcement.</w:t>
      </w:r>
    </w:p>
    <w:p>
      <w:pPr>
        <w:spacing w:line="360" w:lineRule="auto" w:after="20"/>
        <w:ind w:firstLine="283"/>
      </w:pPr>
      <w:r>
        <w:t>G. The legal basis for closing the account.</w:t>
      </w:r>
    </w:p>
    <w:p>
      <w:pPr>
        <w:spacing w:line="360" w:lineRule="auto" w:after="40"/>
      </w:pPr>
      <w:r>
        <w:t>答案：A、D、E、F、G</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金融机构在内部调查后决定关闭账户时需评估的核心要素</w:t>
      </w:r>
    </w:p>
    <w:p>
      <w:pPr>
        <w:spacing w:before="120" w:after="40"/>
      </w:pPr>
      <w:r>
        <w:rPr>
          <w:b/>
          <w:sz w:val="21"/>
          <w:shd w:fill="D6E4F0" w:val="clear"/>
        </w:rPr>
        <w:t>核心解析</w:t>
      </w:r>
    </w:p>
    <w:p>
      <w:pPr>
        <w:spacing w:line="360" w:lineRule="auto" w:after="40"/>
        <w:ind w:firstLine="420"/>
      </w:pPr>
      <w:r>
        <w:t>决定是否关闭账户的决策应基于机构自身的风险偏好、容忍度以及内部标准和指引</w:t>
      </w:r>
      <w:r>
        <w:rPr>
          <w:sz w:val="15"/>
          <w:vertAlign w:val="superscript"/>
        </w:rPr>
        <w:t>P356</w:t>
      </w:r>
      <w:r>
        <w:t>。由此，必须遵循机构的政策和程序（D，P364）。声誉风险是金融机构风险评估体系的一部分，机构可能因声誉担忧断绝客户关系（A，P365）。相关行为本身的严重程度是逐案分析事实、对照监管指南并做出风险为本决策的基础，严重性因素用于对警报进行优先级排序（E，P444）。执法机构可能通过往来信函要求保持账户开放以协助调查，这直接影响关闭决策（F，P362）。许多司法管辖区还存在法律限制，比如未经客户同意不得终止特定产品，或需批准才能因涉嫌非法活动终止关系，因此必须考虑关闭账户的法律依据（G，P357、P303）。这五项共同构成内部调查后独立判断是否关闭账户时应当考量的核心维度。</w:t>
      </w:r>
    </w:p>
    <w:p>
      <w:pPr>
        <w:spacing w:before="120" w:after="40"/>
      </w:pPr>
      <w:r>
        <w:rPr>
          <w:b/>
          <w:sz w:val="21"/>
          <w:shd w:fill="D6E4F0" w:val="clear"/>
        </w:rPr>
        <w:t>教材原句</w:t>
      </w:r>
    </w:p>
    <w:p>
      <w:pPr>
        <w:spacing w:line="360" w:lineRule="auto" w:after="40"/>
        <w:ind w:firstLine="420"/>
      </w:pPr>
      <w:r>
        <w:t>"The decision is made based on the financial institution’s risk appetite and tolerance, and in accordance with its own standards and guidelines."</w:t>
      </w:r>
    </w:p>
    <w:p>
      <w:pPr>
        <w:spacing w:before="120" w:after="40"/>
      </w:pPr>
      <w:r>
        <w:rPr>
          <w:b/>
          <w:sz w:val="21"/>
          <w:shd w:fill="D6E4F0" w:val="clear"/>
        </w:rPr>
        <w:t>B项错误</w:t>
      </w:r>
    </w:p>
    <w:p>
      <w:pPr>
        <w:spacing w:line="360" w:lineRule="auto" w:after="40"/>
        <w:ind w:firstLine="420"/>
      </w:pPr>
      <w:r>
        <w:t>教材在关闭账户的决策框架中从未将“客户的个人关系”列为考量因素。决定的核心是风险、政策和法律依据，而非客户的人际网络。在教材框架下，该项与题干要求的匹配度远不如正确项。</w:t>
      </w:r>
    </w:p>
    <w:p>
      <w:pPr>
        <w:spacing w:before="120" w:after="40"/>
      </w:pPr>
      <w:r>
        <w:rPr>
          <w:b/>
          <w:sz w:val="21"/>
          <w:shd w:fill="D6E4F0" w:val="clear"/>
        </w:rPr>
        <w:t>C项错误</w:t>
      </w:r>
    </w:p>
    <w:p>
      <w:pPr>
        <w:spacing w:line="360" w:lineRule="auto" w:after="40"/>
        <w:ind w:firstLine="420"/>
      </w:pPr>
      <w:r>
        <w:t>账户活动的频率在教材中属于交易监控和风险预警的输入指标</w:t>
      </w:r>
      <w:r>
        <w:rPr>
          <w:sz w:val="15"/>
          <w:vertAlign w:val="superscript"/>
        </w:rPr>
        <w:t>P138</w:t>
      </w:r>
      <w:r>
        <w:t>，用来判断是否需要进一步调查，但关闭账户这一最终决定更直接取决于行为的严重程度、法律合规性和机构政策，活动频率本身的权重和直接性不如正确项。</w:t>
      </w:r>
    </w:p>
    <w:p>
      <w:pPr>
        <w:spacing w:before="120" w:after="40"/>
      </w:pPr>
      <w:r>
        <w:rPr>
          <w:b/>
          <w:sz w:val="21"/>
          <w:shd w:fill="D6E4F0" w:val="clear"/>
        </w:rPr>
        <w:t>易错提醒</w:t>
      </w:r>
    </w:p>
    <w:p>
      <w:pPr>
        <w:spacing w:line="360" w:lineRule="auto" w:after="40"/>
        <w:ind w:firstLine="420"/>
      </w:pPr>
      <w:r>
        <w:t>容易把触发调查的指标（如账户活动频率）误当成决定关闭账户的因素。前者帮你发现问题，后者帮你做出最终行动判断。</w:t>
      </w:r>
    </w:p>
    <w:p>
      <w:pPr>
        <w:spacing w:line="360" w:lineRule="auto" w:after="120"/>
      </w:pPr>
      <w:r/>
    </w:p>
    <w:p>
      <w:pPr>
        <w:spacing w:line="360" w:lineRule="auto" w:after="40"/>
      </w:pPr>
      <w:r>
        <w:t>14. According to FinCEN, when a financial institution (FI) identifies suspicious activity that necessitates a suspicious activity report (SAR) filing, the SAR supporting documentation should: (Select Two.) ( )</w:t>
      </w:r>
    </w:p>
    <w:p>
      <w:pPr>
        <w:spacing w:line="360" w:lineRule="auto" w:after="20"/>
        <w:ind w:firstLine="283"/>
      </w:pPr>
      <w:r>
        <w:t>A. Include all documents or records that assisted the FI in making the determination that the activity required a filing</w:t>
      </w:r>
    </w:p>
    <w:p>
      <w:pPr>
        <w:spacing w:line="360" w:lineRule="auto" w:after="20"/>
        <w:ind w:firstLine="283"/>
      </w:pPr>
      <w:r>
        <w:t>B. Always be limited to account name, account details, and transaction records</w:t>
      </w:r>
    </w:p>
    <w:p>
      <w:pPr>
        <w:spacing w:line="360" w:lineRule="auto" w:after="20"/>
        <w:ind w:firstLine="283"/>
      </w:pPr>
      <w:r>
        <w:t>C. Have written policies and procedures to maintain supporting documentation</w:t>
      </w:r>
    </w:p>
    <w:p>
      <w:pPr>
        <w:spacing w:line="360" w:lineRule="auto" w:after="20"/>
        <w:ind w:firstLine="283"/>
      </w:pPr>
      <w:r>
        <w:t>D. Be saved in a single separate file with hard copies stored in a fireproof cabinet</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区分SAR支持性文件的实质内容要求与形式/保存要求</w:t>
      </w:r>
    </w:p>
    <w:p>
      <w:pPr>
        <w:spacing w:before="120" w:after="40"/>
      </w:pPr>
      <w:r>
        <w:rPr>
          <w:b/>
          <w:sz w:val="21"/>
          <w:shd w:fill="D6E4F0" w:val="clear"/>
        </w:rPr>
        <w:t>核心解析</w:t>
      </w:r>
    </w:p>
    <w:p>
      <w:pPr>
        <w:spacing w:line="360" w:lineRule="auto" w:after="40"/>
        <w:ind w:firstLine="420"/>
      </w:pPr>
      <w:r>
        <w:t>FinCEN对SAR支持性文件的核心要求是内容完整性与程序规范化。就内容而言，全面记录审查过程和所采取的行动</w:t>
      </w:r>
      <w:r>
        <w:rPr>
          <w:sz w:val="15"/>
          <w:vertAlign w:val="superscript"/>
        </w:rPr>
        <w:t>P358</w:t>
      </w:r>
      <w:r>
        <w:t>，这要求金融机构必须保留所有帮助其做出申报决定的文件或记录（A），而不仅仅是账户信息这类有限数据。就程序而言，为降低调查风险，组织必须建立并维护强有力的政策和程序</w:t>
      </w:r>
      <w:r>
        <w:rPr>
          <w:sz w:val="15"/>
          <w:vertAlign w:val="superscript"/>
        </w:rPr>
        <w:t>P350</w:t>
      </w:r>
      <w:r>
        <w:t>，这自然涵盖对支持性文件的管理制度（C）。这两个要求分别从“文档该包含什么”和“机构该如何管理文档”两个维度构成SAR支持性文件的合规基础。</w:t>
      </w:r>
    </w:p>
    <w:p>
      <w:pPr>
        <w:spacing w:before="120" w:after="40"/>
      </w:pPr>
      <w:r>
        <w:rPr>
          <w:b/>
          <w:sz w:val="21"/>
          <w:shd w:fill="D6E4F0" w:val="clear"/>
        </w:rPr>
        <w:t>B项错误</w:t>
      </w:r>
    </w:p>
    <w:p>
      <w:pPr>
        <w:spacing w:line="360" w:lineRule="auto" w:after="40"/>
        <w:ind w:firstLine="420"/>
      </w:pPr>
      <w:r>
        <w:t>支持性文件的范围远不止账户名称、账户详情和交易记录。教材指出，填写SAR需要收集的信息包括分行员工报告、ATM视频、相关纸质物品图像等</w:t>
      </w:r>
      <w:r>
        <w:rPr>
          <w:sz w:val="15"/>
          <w:vertAlign w:val="superscript"/>
        </w:rPr>
        <w:t>P353</w:t>
      </w:r>
      <w:r>
        <w:t>，且支持性文件本身可以是交易记录或备忘录等形式</w:t>
      </w:r>
      <w:r>
        <w:rPr>
          <w:sz w:val="15"/>
          <w:vertAlign w:val="superscript"/>
        </w:rPr>
        <w:t>P358</w:t>
      </w:r>
      <w:r>
        <w:t>。限定为“仅限于”这三类，不符合教材对支持性文件内容广度的描述。</w:t>
      </w:r>
    </w:p>
    <w:p>
      <w:pPr>
        <w:spacing w:before="120" w:after="40"/>
      </w:pPr>
      <w:r>
        <w:rPr>
          <w:b/>
          <w:sz w:val="21"/>
          <w:shd w:fill="D6E4F0" w:val="clear"/>
        </w:rPr>
        <w:t>D项错误</w:t>
      </w:r>
    </w:p>
    <w:p>
      <w:pPr>
        <w:spacing w:line="360" w:lineRule="auto" w:after="40"/>
        <w:ind w:firstLine="420"/>
      </w:pPr>
      <w:r>
        <w:t>教材要求按照机构的记录保留政策，以PDF、打印件或其他方式保存文档</w:t>
      </w:r>
      <w:r>
        <w:rPr>
          <w:sz w:val="15"/>
          <w:vertAlign w:val="superscript"/>
        </w:rPr>
        <w:t>P345</w:t>
      </w:r>
      <w:r>
        <w:t>，并妥善安全存储以遵守隐私法和数据安全要求</w:t>
      </w:r>
      <w:r>
        <w:rPr>
          <w:sz w:val="15"/>
          <w:vertAlign w:val="superscript"/>
        </w:rPr>
        <w:t>P345</w:t>
      </w:r>
      <w:r>
        <w:t>。教材强调的是“按机构自身政策”和“安全保存”，而非指定必须使用“单独文件”或“防火柜”这种具体形式。D要求的特定物理保存方式在教材中并无依据。</w:t>
      </w:r>
    </w:p>
    <w:p>
      <w:pPr>
        <w:spacing w:before="120" w:after="40"/>
      </w:pPr>
      <w:r>
        <w:rPr>
          <w:b/>
          <w:sz w:val="21"/>
          <w:shd w:fill="D6E4F0" w:val="clear"/>
        </w:rPr>
        <w:t>易错提醒</w:t>
      </w:r>
    </w:p>
    <w:p>
      <w:pPr>
        <w:spacing w:line="360" w:lineRule="auto" w:after="40"/>
        <w:ind w:firstLine="420"/>
      </w:pPr>
      <w:r>
        <w:t>注意“支持性文件的内涵”与“保存支持性文件的形式”是不同维度的要求。教材规定“记录什么”（全面记录审查过程和行动，P358）和“按机构政策如何保存”</w:t>
      </w:r>
      <w:r>
        <w:rPr>
          <w:sz w:val="15"/>
          <w:vertAlign w:val="superscript"/>
        </w:rPr>
        <w:t>P345</w:t>
      </w:r>
      <w:r>
        <w:t>，但并未指定具体的物理存储介质或位置。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