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CH12 (EN)</w:t>
      </w:r>
    </w:p>
    <w:p>
      <w:pPr>
        <w:spacing w:line="360" w:lineRule="auto" w:after="160"/>
      </w:pPr>
      <w:r>
        <w:t>一、单项选择题</w:t>
      </w:r>
    </w:p>
    <w:p>
      <w:pPr>
        <w:spacing w:line="360" w:lineRule="auto" w:after="40"/>
      </w:pPr>
      <w:r>
        <w:t>1. The U.S. Department of the Treasury notes that which of the following represent high money laundering risk when de-risked from traditional financial institutions (FIs)? (Choose two.) ( )</w:t>
      </w:r>
    </w:p>
    <w:p>
      <w:pPr>
        <w:spacing w:line="360" w:lineRule="auto" w:after="20"/>
        <w:ind w:firstLine="283"/>
      </w:pPr>
      <w:r>
        <w:t>A. Money services businesses (MSBs)</w:t>
      </w:r>
    </w:p>
    <w:p>
      <w:pPr>
        <w:spacing w:line="360" w:lineRule="auto" w:after="20"/>
        <w:ind w:firstLine="283"/>
      </w:pPr>
      <w:r>
        <w:t>B. Multinational corporations</w:t>
      </w:r>
    </w:p>
    <w:p>
      <w:pPr>
        <w:spacing w:line="360" w:lineRule="auto" w:after="20"/>
        <w:ind w:firstLine="283"/>
      </w:pPr>
      <w:r>
        <w:t>C. Individual foreign customers</w:t>
      </w:r>
    </w:p>
    <w:p>
      <w:pPr>
        <w:spacing w:line="360" w:lineRule="auto" w:after="20"/>
        <w:ind w:firstLine="283"/>
      </w:pPr>
      <w:r>
        <w:t>D. Non-profit organizations with international operations</w:t>
      </w:r>
    </w:p>
    <w:p>
      <w:pPr>
        <w:spacing w:line="360" w:lineRule="auto" w:after="40"/>
      </w:pPr>
      <w:r>
        <w:t>答案：A、D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识别去风险化语境下受金融排斥的高风险行业</w:t>
      </w:r>
    </w:p>
    <w:p>
      <w:pPr>
        <w:spacing w:before="120" w:after="40"/>
      </w:pPr>
      <w:r>
        <w:rPr>
          <w:b/>
          <w:sz w:val="21"/>
          <w:shd w:fill="D6E4F0" w:val="clear"/>
        </w:rPr>
        <w:t>核心解析</w:t>
      </w:r>
    </w:p>
    <w:p>
      <w:pPr>
        <w:spacing w:line="360" w:lineRule="auto" w:after="40"/>
        <w:ind w:firstLine="420"/>
      </w:pPr>
      <w:r>
        <w:t>教材在P365提到，去风险化（de-risking）指金融机构因风险偏好或合规压力，选择规避而非管理风险，直接放弃整类高风险客户或不再提供服务。去风险化的后果是金融排斥（financial exclusion），也被称为去银行化（de-banking）。在此背景下，教材明确列出，被限制银行服务的行业“such as MSBs, cryptocurrency exchanges, money or value transfer services (MVTS), and non-profit organizations (NPO)”</w:t>
      </w:r>
      <w:r>
        <w:rPr>
          <w:sz w:val="15"/>
          <w:vertAlign w:val="superscript"/>
        </w:rPr>
        <w:t>P365</w:t>
      </w:r>
      <w:r>
        <w:t>。题干直接考察对该列举的理解：在被传统金融机构去风险化后，哪些代表较高的洗钱风险。选项A（MSBs）和选项D（具有国际业务的非营利组织）正好落在教材列举的受限制行业范围内。因此，这两项是传统金融机构去风险化时重点关注并可能切断服务的高风险对象。</w:t>
      </w:r>
    </w:p>
    <w:p>
      <w:pPr>
        <w:spacing w:before="120" w:after="40"/>
      </w:pPr>
      <w:r>
        <w:rPr>
          <w:b/>
          <w:sz w:val="21"/>
          <w:shd w:fill="D6E4F0" w:val="clear"/>
        </w:rPr>
        <w:t>教材原句</w:t>
      </w:r>
    </w:p>
    <w:p>
      <w:pPr>
        <w:spacing w:line="360" w:lineRule="auto" w:after="40"/>
        <w:ind w:firstLine="420"/>
      </w:pPr>
      <w:r>
        <w:t>"De-risking has reduced correspondent banking relationships in some regions and restricted banking access for sectors such as MSBs, cryptocurrency exchanges, money or value transfer services (MVTS), and non-profit organizations (NPO)."</w:t>
      </w:r>
    </w:p>
    <w:p>
      <w:pPr>
        <w:spacing w:before="120" w:after="40"/>
      </w:pPr>
      <w:r>
        <w:rPr>
          <w:b/>
          <w:sz w:val="21"/>
          <w:shd w:fill="D6E4F0" w:val="clear"/>
        </w:rPr>
        <w:t>B项错误</w:t>
      </w:r>
    </w:p>
    <w:p>
      <w:pPr>
        <w:spacing w:line="360" w:lineRule="auto" w:after="40"/>
        <w:ind w:firstLine="420"/>
      </w:pPr>
      <w:r>
        <w:t>教材在P28将跨国公司作为激进避税（aggressive tax avoidance）的案例提及，属于税务筹划风险范畴，而非去风险化语境下被切断银行服务的特定行业。题干所引用的P365去风险化列举中未包含跨国公司，相比之下，选项A和D与题干考点的匹配度更直接。</w:t>
      </w:r>
    </w:p>
    <w:p>
      <w:pPr>
        <w:spacing w:before="120" w:after="40"/>
      </w:pPr>
      <w:r>
        <w:rPr>
          <w:b/>
          <w:sz w:val="21"/>
          <w:shd w:fill="D6E4F0" w:val="clear"/>
        </w:rPr>
        <w:t>C项错误</w:t>
      </w:r>
    </w:p>
    <w:p>
      <w:pPr>
        <w:spacing w:line="360" w:lineRule="auto" w:after="40"/>
        <w:ind w:firstLine="420"/>
      </w:pPr>
      <w:r>
        <w:t>教材在P138提及为外国国民个人开支（如教育费）提供资金的账户可能混淆官方与个人财务，属于大使馆/使团账户场景下的特定风险，并非去风险化造成的系统性金融排斥对象。P365关于去风险化的教材原文列举的是行业类别（sectors）而非零散的个人客户群体，D项覆盖的非营利组织行业风险匹配度远高于C项。</w:t>
      </w:r>
    </w:p>
    <w:p>
      <w:pPr>
        <w:spacing w:line="360" w:lineRule="auto" w:after="120"/>
      </w:pPr>
      <w:r/>
    </w:p>
    <w:p>
      <w:pPr>
        <w:spacing w:line="360" w:lineRule="auto" w:after="40"/>
      </w:pPr>
      <w:r>
        <w:t>2. Which practices should financial institutions (FIs) adopt for the process of terminating customer relationships? (Choose three.) ( )</w:t>
      </w:r>
    </w:p>
    <w:p>
      <w:pPr>
        <w:spacing w:line="360" w:lineRule="auto" w:after="20"/>
        <w:ind w:firstLine="283"/>
      </w:pPr>
      <w:r>
        <w:t>A. Using a flexible communication style during the termination process that adapts to different customer situations</w:t>
      </w:r>
    </w:p>
    <w:p>
      <w:pPr>
        <w:spacing w:line="360" w:lineRule="auto" w:after="20"/>
        <w:ind w:firstLine="283"/>
      </w:pPr>
      <w:r>
        <w:t>B. Implementing a standardized procedure for customer termination that includes risk assessments and necessary documentation</w:t>
      </w:r>
    </w:p>
    <w:p>
      <w:pPr>
        <w:spacing w:line="360" w:lineRule="auto" w:after="20"/>
        <w:ind w:firstLine="283"/>
      </w:pPr>
      <w:r>
        <w:t>C. Performing a final review of a customer's transaction history and records to address any unresolved issues prior to termination</w:t>
      </w:r>
    </w:p>
    <w:p>
      <w:pPr>
        <w:spacing w:line="360" w:lineRule="auto" w:after="20"/>
        <w:ind w:firstLine="283"/>
      </w:pPr>
      <w:r>
        <w:t>D. Keeping records of the termination process, including the justification for the decision and any communications with the customer</w:t>
      </w:r>
    </w:p>
    <w:p>
      <w:pPr>
        <w:spacing w:line="360" w:lineRule="auto" w:after="20"/>
        <w:ind w:firstLine="283"/>
      </w:pPr>
      <w:r>
        <w:t>E. Notifying the customer of the termination decision only after the termination process is complete to prevent possible disputes</w:t>
      </w:r>
    </w:p>
    <w:p>
      <w:pPr>
        <w:spacing w:line="360" w:lineRule="auto" w:after="40"/>
      </w:pPr>
      <w:r>
        <w:t>答案：A、B、D</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区分终止原因采用灵活沟通，并遵循标准化程序与记录留存</w:t>
      </w:r>
    </w:p>
    <w:p>
      <w:pPr>
        <w:spacing w:before="120" w:after="40"/>
      </w:pPr>
      <w:r>
        <w:rPr>
          <w:b/>
          <w:sz w:val="21"/>
          <w:shd w:fill="D6E4F0" w:val="clear"/>
        </w:rPr>
        <w:t>核心解析</w:t>
      </w:r>
    </w:p>
    <w:p>
      <w:pPr>
        <w:spacing w:line="360" w:lineRule="auto" w:after="40"/>
        <w:ind w:firstLine="420"/>
      </w:pPr>
      <w:r>
        <w:t>教材指出，终止客户关系时需根据原因采取不同沟通方式：因风险偏好终止可安全告知客户原因，并使用通用信函；因金融犯罪嫌疑则不得通风报信，必须用非常通用的措辞</w:t>
      </w:r>
      <w:r>
        <w:rPr>
          <w:sz w:val="15"/>
          <w:vertAlign w:val="superscript"/>
        </w:rPr>
        <w:t>P364</w:t>
      </w:r>
      <w:r>
        <w:t>。这要求沟通方式必须灵活适应不同情况。同时，机构应遵循标准化程序，包括风险评估和必要文件记录</w:t>
      </w:r>
      <w:r>
        <w:rPr>
          <w:sz w:val="15"/>
          <w:vertAlign w:val="superscript"/>
        </w:rPr>
        <w:t>P313、P364</w:t>
      </w:r>
      <w:r>
        <w:t>，并保留终止流程的全部记录，涵盖决策理由和所有通信</w:t>
      </w:r>
      <w:r>
        <w:rPr>
          <w:sz w:val="15"/>
          <w:vertAlign w:val="superscript"/>
        </w:rPr>
        <w:t>P361、P340</w:t>
      </w:r>
      <w:r>
        <w:t>。据此，A（灵活沟通）、B（标准化程序）、D（保留记录）均与教材框架直接吻合。</w:t>
      </w:r>
    </w:p>
    <w:p>
      <w:pPr>
        <w:spacing w:before="120" w:after="40"/>
      </w:pPr>
      <w:r>
        <w:rPr>
          <w:b/>
          <w:sz w:val="21"/>
          <w:shd w:fill="D6E4F0" w:val="clear"/>
        </w:rPr>
        <w:t>教材原句</w:t>
      </w:r>
    </w:p>
    <w:p>
      <w:pPr>
        <w:spacing w:line="360" w:lineRule="auto" w:after="40"/>
        <w:ind w:firstLine="420"/>
      </w:pPr>
      <w:r>
        <w:t>"It should be followed by a very generic letter or communication saying the organization wishes to discontinue the relationship."</w:t>
      </w:r>
    </w:p>
    <w:p>
      <w:pPr>
        <w:spacing w:before="120" w:after="40"/>
      </w:pPr>
      <w:r>
        <w:rPr>
          <w:b/>
          <w:sz w:val="21"/>
          <w:shd w:fill="D6E4F0" w:val="clear"/>
        </w:rPr>
        <w:t>C项错误</w:t>
      </w:r>
    </w:p>
    <w:p>
      <w:pPr>
        <w:spacing w:line="360" w:lineRule="auto" w:after="40"/>
        <w:ind w:firstLine="420"/>
      </w:pPr>
      <w:r>
        <w:t>教材提到终止既有客户需额外步骤</w:t>
      </w:r>
      <w:r>
        <w:rPr>
          <w:sz w:val="15"/>
          <w:vertAlign w:val="superscript"/>
        </w:rPr>
        <w:t>P364</w:t>
      </w:r>
      <w:r>
        <w:t>，但并未将“最终审查交易历史”列为终止流程的必然环节；此类审查更贴近持续监控或调查阶段的工作</w:t>
      </w:r>
      <w:r>
        <w:rPr>
          <w:sz w:val="15"/>
          <w:vertAlign w:val="superscript"/>
        </w:rPr>
        <w:t>P359</w:t>
      </w:r>
      <w:r>
        <w:t>。在教材框架下，题干更直接支持标准化程序和记录保留，而非选项C所主张的审查步骤。</w:t>
      </w:r>
    </w:p>
    <w:p>
      <w:pPr>
        <w:spacing w:before="120" w:after="40"/>
      </w:pPr>
      <w:r>
        <w:rPr>
          <w:b/>
          <w:sz w:val="21"/>
          <w:shd w:fill="D6E4F0" w:val="clear"/>
        </w:rPr>
        <w:t>E项错误</w:t>
      </w:r>
    </w:p>
    <w:p>
      <w:pPr>
        <w:spacing w:line="360" w:lineRule="auto" w:after="40"/>
        <w:ind w:firstLine="420"/>
      </w:pPr>
      <w:r>
        <w:t>教材要求终止时采用通用信函或沟通方式</w:t>
      </w:r>
      <w:r>
        <w:rPr>
          <w:sz w:val="15"/>
          <w:vertAlign w:val="superscript"/>
        </w:rPr>
        <w:t>P364</w:t>
      </w:r>
      <w:r>
        <w:t>，并应给予客户合理时间做出其他安排</w:t>
      </w:r>
      <w:r>
        <w:rPr>
          <w:sz w:val="15"/>
          <w:vertAlign w:val="superscript"/>
        </w:rPr>
        <w:t>P364</w:t>
      </w:r>
      <w:r>
        <w:t>。仅在完成后通知容易构成通风报信或违反公平对待原则，相比之下，A项强调的灵活沟通、D项强调的完整记录，更直接匹配教材对终止流程的规定。</w:t>
      </w:r>
    </w:p>
    <w:p>
      <w:pPr>
        <w:spacing w:before="120" w:after="40"/>
      </w:pPr>
      <w:r>
        <w:rPr>
          <w:b/>
          <w:sz w:val="21"/>
          <w:shd w:fill="D6E4F0" w:val="clear"/>
        </w:rPr>
        <w:t>易错提醒</w:t>
      </w:r>
    </w:p>
    <w:p>
      <w:pPr>
        <w:spacing w:line="360" w:lineRule="auto" w:after="40"/>
        <w:ind w:firstLine="420"/>
      </w:pPr>
      <w:r>
        <w:t>区分风险偏好终止与金融犯罪嫌疑终止：前者可安全告知原因</w:t>
      </w:r>
      <w:r>
        <w:rPr>
          <w:sz w:val="15"/>
          <w:vertAlign w:val="superscript"/>
        </w:rPr>
        <w:t>P364</w:t>
      </w:r>
      <w:r>
        <w:t>，后者必须使用通用措辞不得通风报信</w:t>
      </w:r>
      <w:r>
        <w:rPr>
          <w:sz w:val="15"/>
          <w:vertAlign w:val="superscript"/>
        </w:rPr>
        <w:t>P364</w:t>
      </w:r>
      <w:r>
        <w:t>。</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