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CH08 (EN)</w:t>
      </w:r>
    </w:p>
    <w:p>
      <w:pPr>
        <w:spacing w:line="360" w:lineRule="auto" w:after="160"/>
      </w:pPr>
      <w:r>
        <w:t>一、单项选择题</w:t>
      </w:r>
    </w:p>
    <w:p>
      <w:pPr>
        <w:spacing w:line="360" w:lineRule="auto" w:after="40"/>
      </w:pPr>
      <w:r>
        <w:t>1. The purpose of a risk appetite statement is to: ( )</w:t>
      </w:r>
    </w:p>
    <w:p>
      <w:pPr>
        <w:spacing w:line="360" w:lineRule="auto" w:after="20"/>
        <w:ind w:firstLine="283"/>
      </w:pPr>
      <w:r>
        <w:t>A. Clearly define the level of risk exposure to financial crime that a financial institution is willing to take</w:t>
      </w:r>
    </w:p>
    <w:p>
      <w:pPr>
        <w:spacing w:line="360" w:lineRule="auto" w:after="20"/>
        <w:ind w:firstLine="283"/>
      </w:pPr>
      <w:r>
        <w:t>B. Help investors understand the risk a financial institution is willing to take</w:t>
      </w:r>
    </w:p>
    <w:p>
      <w:pPr>
        <w:spacing w:line="360" w:lineRule="auto" w:after="20"/>
        <w:ind w:firstLine="283"/>
      </w:pPr>
      <w:r>
        <w:t>C. Help customers understand which financial institutions may be willing to bank their business</w:t>
      </w:r>
    </w:p>
    <w:p>
      <w:pPr>
        <w:spacing w:line="360" w:lineRule="auto" w:after="20"/>
        <w:ind w:firstLine="283"/>
      </w:pPr>
      <w:r>
        <w:t>D. Eliminate high-risk business types from a financial institution</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风险偏好声明的核心目的——界定可接受的风险敞口水平</w:t>
      </w:r>
    </w:p>
    <w:p>
      <w:pPr>
        <w:spacing w:before="120" w:after="40"/>
      </w:pPr>
      <w:r>
        <w:rPr>
          <w:b/>
          <w:sz w:val="21"/>
          <w:shd w:fill="D6E4F0" w:val="clear"/>
        </w:rPr>
        <w:t>核心解析</w:t>
      </w:r>
    </w:p>
    <w:p>
      <w:pPr>
        <w:spacing w:line="360" w:lineRule="auto" w:after="40"/>
        <w:ind w:firstLine="420"/>
      </w:pPr>
      <w:r>
        <w:t>风险偏好声明（Risk Appetite Statement, RAS）定义了组织为实现目标愿意承担的风险水平</w:t>
      </w:r>
      <w:r>
        <w:rPr>
          <w:sz w:val="15"/>
          <w:vertAlign w:val="superscript"/>
        </w:rPr>
        <w:t>P243</w:t>
      </w:r>
      <w:r>
        <w:t>。它是一份内部治理文件，由董事会批准</w:t>
      </w:r>
      <w:r>
        <w:rPr>
          <w:sz w:val="15"/>
          <w:vertAlign w:val="superscript"/>
        </w:rPr>
        <w:t>P243</w:t>
      </w:r>
      <w:r>
        <w:t>，用于明确金融机构在金融犯罪风险类别上愿意接受多少风险敞口。题干问的是“风险偏好声明的目的在于”，A选项“明确界定金融机构愿意承担的金融犯罪风险敞口水平”几乎直接对应教材原句——define the risk level the organization is willing to operate within，只是将“风险水平”进一步具体化为“金融犯罪风险敞口水平”，而教材同时指出金融犯罪防控项目的关键要素包括风险偏好声明</w:t>
      </w:r>
      <w:r>
        <w:rPr>
          <w:sz w:val="15"/>
          <w:vertAlign w:val="superscript"/>
        </w:rPr>
        <w:t>P243</w:t>
      </w:r>
      <w:r>
        <w:t>，金融犯罪风险涵盖多个类别</w:t>
      </w:r>
      <w:r>
        <w:rPr>
          <w:sz w:val="15"/>
          <w:vertAlign w:val="superscript"/>
        </w:rPr>
        <w:t>P243</w:t>
      </w:r>
      <w:r>
        <w:t>，因此将风险偏好声明应用于金融犯罪风险领域完全吻合教材框架。相比之下，其他选项的主体或功能方向偏离了风险偏好声明的内部治理属性。</w:t>
      </w:r>
    </w:p>
    <w:p>
      <w:pPr>
        <w:spacing w:before="120" w:after="40"/>
      </w:pPr>
      <w:r>
        <w:rPr>
          <w:b/>
          <w:sz w:val="21"/>
          <w:shd w:fill="D6E4F0" w:val="clear"/>
        </w:rPr>
        <w:t>教材原句</w:t>
      </w:r>
    </w:p>
    <w:p>
      <w:pPr>
        <w:spacing w:line="360" w:lineRule="auto" w:after="40"/>
        <w:ind w:firstLine="420"/>
      </w:pPr>
      <w:r>
        <w:t>"The risk appetite statement defines the risk level the organization is willing to operate within to achieve its objectives."</w:t>
      </w:r>
    </w:p>
    <w:p>
      <w:pPr>
        <w:spacing w:before="120" w:after="40"/>
      </w:pPr>
      <w:r>
        <w:rPr>
          <w:b/>
          <w:sz w:val="21"/>
          <w:shd w:fill="D6E4F0" w:val="clear"/>
        </w:rPr>
        <w:t>B项错误</w:t>
      </w:r>
    </w:p>
    <w:p>
      <w:pPr>
        <w:spacing w:line="360" w:lineRule="auto" w:after="40"/>
        <w:ind w:firstLine="420"/>
      </w:pPr>
      <w:r>
        <w:t>风险偏好声明是内部治理工具，面向董事会、管理层和业务部门，用于指导决策和风险管理实践</w:t>
      </w:r>
      <w:r>
        <w:rPr>
          <w:sz w:val="15"/>
          <w:vertAlign w:val="superscript"/>
        </w:rPr>
        <w:t>P243</w:t>
      </w:r>
      <w:r>
        <w:t>。教材未提及其目的是帮助投资者了解风险。投资者更可能通过年报或风险披露文件获取此类信息，题干条件更直接匹配A的内部界定功能而非B的外部沟通功能。</w:t>
      </w:r>
    </w:p>
    <w:p>
      <w:pPr>
        <w:spacing w:before="120" w:after="40"/>
      </w:pPr>
      <w:r>
        <w:rPr>
          <w:b/>
          <w:sz w:val="21"/>
          <w:shd w:fill="D6E4F0" w:val="clear"/>
        </w:rPr>
        <w:t>C项错误</w:t>
      </w:r>
    </w:p>
    <w:p>
      <w:pPr>
        <w:spacing w:line="360" w:lineRule="auto" w:after="40"/>
        <w:ind w:firstLine="420"/>
      </w:pPr>
      <w:r>
        <w:t>教材确实提到，若因风险偏好拒绝客户，可向潜在客户解释“超出风险偏好”</w:t>
      </w:r>
      <w:r>
        <w:rPr>
          <w:sz w:val="15"/>
          <w:vertAlign w:val="superscript"/>
        </w:rPr>
        <w:t>P364</w:t>
      </w:r>
      <w:r>
        <w:t>，但这只是风险偏好声明在客户退出场景中的一个附带应用，而非其“目的”。相比之下，A选项对应的“定义可接受风险水平”才是教材对风险偏好声明的核心定义</w:t>
      </w:r>
      <w:r>
        <w:rPr>
          <w:sz w:val="15"/>
          <w:vertAlign w:val="superscript"/>
        </w:rPr>
        <w:t>P243</w:t>
      </w:r>
      <w:r>
        <w:t>，匹配度远高于C。</w:t>
      </w:r>
    </w:p>
    <w:p>
      <w:pPr>
        <w:spacing w:before="120" w:after="40"/>
      </w:pPr>
      <w:r>
        <w:rPr>
          <w:b/>
          <w:sz w:val="21"/>
          <w:shd w:fill="D6E4F0" w:val="clear"/>
        </w:rPr>
        <w:t>D项错误</w:t>
      </w:r>
    </w:p>
    <w:p>
      <w:pPr>
        <w:spacing w:line="360" w:lineRule="auto" w:after="40"/>
        <w:ind w:firstLine="420"/>
      </w:pPr>
      <w:r>
        <w:t>零容忍偏好（zero appetite）指金融机构拒绝承担与特定客户类型、产品或行业相关的风险</w:t>
      </w:r>
      <w:r>
        <w:rPr>
          <w:sz w:val="15"/>
          <w:vertAlign w:val="superscript"/>
        </w:rPr>
        <w:t>P273</w:t>
      </w:r>
      <w:r>
        <w:t>，这是风险偏好声明中可能包含的一项声明，但不是声明本身的目的。风险偏好声明的作用是界定愿意承担的风险水平</w:t>
      </w:r>
      <w:r>
        <w:rPr>
          <w:sz w:val="15"/>
          <w:vertAlign w:val="superscript"/>
        </w:rPr>
        <w:t>P243</w:t>
      </w:r>
      <w:r>
        <w:t>，而非剔除高风险业务——剔除只是风险偏好为零时的一种结果体现，不如A更直接匹配教材对风险偏好声明目的的定义。</w:t>
      </w:r>
    </w:p>
    <w:p>
      <w:pPr>
        <w:spacing w:before="120" w:after="40"/>
      </w:pPr>
      <w:r>
        <w:rPr>
          <w:b/>
          <w:sz w:val="21"/>
          <w:shd w:fill="D6E4F0" w:val="clear"/>
        </w:rPr>
        <w:t>易错提醒</w:t>
      </w:r>
    </w:p>
    <w:p>
      <w:pPr>
        <w:spacing w:line="360" w:lineRule="auto" w:after="40"/>
        <w:ind w:firstLine="420"/>
      </w:pPr>
      <w:r>
        <w:t>区分“风险偏好声明”与“风险容忍度”：风险偏好声明定义组织愿意承担的整体风险水平</w:t>
      </w:r>
      <w:r>
        <w:rPr>
          <w:sz w:val="15"/>
          <w:vertAlign w:val="superscript"/>
        </w:rPr>
        <w:t>P243</w:t>
      </w:r>
      <w:r>
        <w:t>；风险容忍度则是在整体风险偏好内，为特定风险类别设定定量和定性的界限</w:t>
      </w:r>
      <w:r>
        <w:rPr>
          <w:sz w:val="15"/>
          <w:vertAlign w:val="superscript"/>
        </w:rPr>
        <w:t>P244</w:t>
      </w:r>
      <w:r>
        <w:t>。前者回答“我们愿意承担多少风险”，后者回答“在特定类别上，我们的上下限在哪里”。</w:t>
      </w:r>
    </w:p>
    <w:p>
      <w:pPr>
        <w:spacing w:line="360" w:lineRule="auto" w:after="120"/>
      </w:pPr>
      <w:r/>
    </w:p>
    <w:p>
      <w:pPr>
        <w:spacing w:line="360" w:lineRule="auto" w:after="40"/>
      </w:pPr>
      <w:r>
        <w:t>2. An organization is developing a comprehensive anti-money laundering (AML) framework. Which of the following statements best describes the relationship between AML policies and procedures? ( )</w:t>
      </w:r>
    </w:p>
    <w:p>
      <w:pPr>
        <w:spacing w:line="360" w:lineRule="auto" w:after="20"/>
        <w:ind w:firstLine="283"/>
      </w:pPr>
      <w:r>
        <w:t>A. Policies are broad guidelines. Procedures are detailed instructions for specific processes. Only procedures are mandatory for knowledge and adherence.</w:t>
      </w:r>
    </w:p>
    <w:p>
      <w:pPr>
        <w:spacing w:line="360" w:lineRule="auto" w:after="20"/>
        <w:ind w:firstLine="283"/>
      </w:pPr>
      <w:r>
        <w:t>B. Policies define the principles of an organization and influence the drafting of procedures. Procedures are detailed instructions for specific processes.</w:t>
      </w:r>
    </w:p>
    <w:p>
      <w:pPr>
        <w:spacing w:line="360" w:lineRule="auto" w:after="20"/>
        <w:ind w:firstLine="283"/>
      </w:pPr>
      <w:r>
        <w:t>C. Policies are detailed instructions for specific processes. Procedures are an overarching framework. Neither policies nor procedures are mandatory for knowledge and adherence.</w:t>
      </w:r>
    </w:p>
    <w:p>
      <w:pPr>
        <w:spacing w:line="360" w:lineRule="auto" w:after="20"/>
        <w:ind w:firstLine="283"/>
      </w:pPr>
      <w:r>
        <w:t>D. Policies are detailed instructions for specific processes. Procedures are an overarching framework. Both policies and procedures are mandatory for knowledge and adherence.</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区分政策（原则/框架）与程序（详细操作步骤）的定义及关系</w:t>
      </w:r>
    </w:p>
    <w:p>
      <w:pPr>
        <w:spacing w:before="120" w:after="40"/>
      </w:pPr>
      <w:r>
        <w:rPr>
          <w:b/>
          <w:sz w:val="21"/>
          <w:shd w:fill="D6E4F0" w:val="clear"/>
        </w:rPr>
        <w:t>核心解析</w:t>
      </w:r>
    </w:p>
    <w:p>
      <w:pPr>
        <w:spacing w:line="360" w:lineRule="auto" w:after="40"/>
        <w:ind w:firstLine="420"/>
      </w:pPr>
      <w:r>
        <w:t>教材对政策与程序的定义是：“Policies interpret laws and regulations, and provide the framework while procedures are the step-by-step instructions on how to implement the policies.”</w:t>
      </w:r>
      <w:r>
        <w:rPr>
          <w:sz w:val="15"/>
          <w:vertAlign w:val="superscript"/>
        </w:rPr>
        <w:t>P244</w:t>
      </w:r>
      <w:r>
        <w:t>即政策把法规要求转化为组织适用的原则和框架，程序则是落实政策的具体操作指南。题干问的是二者的关系，选项B准确反映了这套定义——政策确立组织原则并影响程序的制定，程序是针对具体流程的详细说明。因此B正确。</w:t>
      </w:r>
    </w:p>
    <w:p>
      <w:pPr>
        <w:spacing w:before="120" w:after="40"/>
      </w:pPr>
      <w:r>
        <w:rPr>
          <w:b/>
          <w:sz w:val="21"/>
          <w:shd w:fill="D6E4F0" w:val="clear"/>
        </w:rPr>
        <w:t>教材原句</w:t>
      </w:r>
    </w:p>
    <w:p>
      <w:pPr>
        <w:spacing w:line="360" w:lineRule="auto" w:after="40"/>
        <w:ind w:firstLine="420"/>
      </w:pPr>
      <w:r>
        <w:t>"Policies interpret laws and regulations, and provide the framework while procedures are the step-by-step instructions on how to implement the policies."</w:t>
      </w:r>
    </w:p>
    <w:p>
      <w:pPr>
        <w:spacing w:before="120" w:after="40"/>
      </w:pPr>
      <w:r>
        <w:rPr>
          <w:b/>
          <w:sz w:val="21"/>
          <w:shd w:fill="D6E4F0" w:val="clear"/>
        </w:rPr>
        <w:t>A项错误</w:t>
      </w:r>
    </w:p>
    <w:p>
      <w:pPr>
        <w:spacing w:line="360" w:lineRule="auto" w:after="40"/>
        <w:ind w:firstLine="420"/>
      </w:pPr>
      <w:r>
        <w:t>前半句“政策是宽泛的指导方针，程序是详细说明”与教材方向大致一致，但后半句“只有程序必须了解和遵守”与教材不符。教材指出持续员工培训包括反洗钱政策、程序和风险意识</w:t>
      </w:r>
      <w:r>
        <w:rPr>
          <w:sz w:val="15"/>
          <w:vertAlign w:val="superscript"/>
        </w:rPr>
        <w:t>P244</w:t>
      </w:r>
      <w:r>
        <w:t>，可见政策同样必须知晓和遵守。正确项B没有这种排他限定，更贴合教材的设计。</w:t>
      </w:r>
    </w:p>
    <w:p>
      <w:pPr>
        <w:spacing w:before="120" w:after="40"/>
      </w:pPr>
      <w:r>
        <w:rPr>
          <w:b/>
          <w:sz w:val="21"/>
          <w:shd w:fill="D6E4F0" w:val="clear"/>
        </w:rPr>
        <w:t>C项错误</w:t>
      </w:r>
    </w:p>
    <w:p>
      <w:pPr>
        <w:spacing w:line="360" w:lineRule="auto" w:after="40"/>
        <w:ind w:firstLine="420"/>
      </w:pPr>
      <w:r>
        <w:t>该项把政策当作详细说明、把程序当作总体框架，与教材的定义完全颠倒，属于概念错位。同时“都不强制”的说法也不被教材支持。相比之下，B项的定义方向更直接吻合教材原文。</w:t>
      </w:r>
    </w:p>
    <w:p>
      <w:pPr>
        <w:spacing w:before="120" w:after="40"/>
      </w:pPr>
      <w:r>
        <w:rPr>
          <w:b/>
          <w:sz w:val="21"/>
          <w:shd w:fill="D6E4F0" w:val="clear"/>
        </w:rPr>
        <w:t>D项错误</w:t>
      </w:r>
    </w:p>
    <w:p>
      <w:pPr>
        <w:spacing w:line="360" w:lineRule="auto" w:after="40"/>
        <w:ind w:firstLine="420"/>
      </w:pPr>
      <w:r>
        <w:t>和C一样颠倒了政策与程序的定义，只是附加了“都必须遵守”这一正确意识，但核心定义是错的。教材框架下，正确项B比D更直接、更准确地描述了二者的角色和关系。</w:t>
      </w:r>
    </w:p>
    <w:p>
      <w:pPr>
        <w:spacing w:before="120" w:after="40"/>
      </w:pPr>
      <w:r>
        <w:rPr>
          <w:b/>
          <w:sz w:val="21"/>
          <w:shd w:fill="D6E4F0" w:val="clear"/>
        </w:rPr>
        <w:t>易错提醒</w:t>
      </w:r>
    </w:p>
    <w:p>
      <w:pPr>
        <w:spacing w:line="360" w:lineRule="auto" w:after="40"/>
        <w:ind w:firstLine="420"/>
      </w:pPr>
      <w:r>
        <w:t>常有人把政策当成“具体的操作指南”，把程序当成“大方向”。教材的区分很清楚：政策是“what”和“why”，解释法规并搭建框架；程序是“how”，一步一步怎么操作。</w:t>
      </w:r>
    </w:p>
    <w:p>
      <w:pPr>
        <w:spacing w:line="360" w:lineRule="auto" w:after="120"/>
      </w:pPr>
      <w:r/>
    </w:p>
    <w:p>
      <w:pPr>
        <w:spacing w:line="360" w:lineRule="auto" w:after="40"/>
      </w:pPr>
      <w:r>
        <w:t>3. A financial crimes risk appetite statement describes: ( )</w:t>
      </w:r>
    </w:p>
    <w:p>
      <w:pPr>
        <w:spacing w:line="360" w:lineRule="auto" w:after="20"/>
        <w:ind w:firstLine="283"/>
      </w:pPr>
      <w:r>
        <w:t>A. How an organization defines its risk-based approach</w:t>
      </w:r>
    </w:p>
    <w:p>
      <w:pPr>
        <w:spacing w:line="360" w:lineRule="auto" w:after="20"/>
        <w:ind w:firstLine="283"/>
      </w:pPr>
      <w:r>
        <w:t>B. How an organization determines its key risk and performance indicators</w:t>
      </w:r>
    </w:p>
    <w:p>
      <w:pPr>
        <w:spacing w:line="360" w:lineRule="auto" w:after="20"/>
        <w:ind w:firstLine="283"/>
      </w:pPr>
      <w:r>
        <w:t>C. The level and type of risk the organization is willing to take to meet its objectives</w:t>
      </w:r>
    </w:p>
    <w:p>
      <w:pPr>
        <w:spacing w:line="360" w:lineRule="auto" w:after="20"/>
        <w:ind w:firstLine="283"/>
      </w:pPr>
      <w:r>
        <w:t>D. The purpose of an organization's financial crimes compliance program</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区分风险偏好声明的定义与风险管理方法、指标及合规计划目的</w:t>
      </w:r>
    </w:p>
    <w:p>
      <w:pPr>
        <w:spacing w:before="120" w:after="40"/>
      </w:pPr>
      <w:r>
        <w:rPr>
          <w:b/>
          <w:sz w:val="21"/>
          <w:shd w:fill="D6E4F0" w:val="clear"/>
        </w:rPr>
        <w:t>核心解析</w:t>
      </w:r>
    </w:p>
    <w:p>
      <w:pPr>
        <w:spacing w:line="360" w:lineRule="auto" w:after="40"/>
        <w:ind w:firstLine="420"/>
      </w:pPr>
      <w:r>
        <w:t>风险偏好声明（Risk Appetite Statement）是界定组织为实现其目标所愿意接受的风险水平与类型的形式文件（P243, P272）。在该定义框架下，它关注的是组织自身对风险的接纳程度，而非围绕风险进行的工具性安排。题干问及“金融犯罪风险偏好声明描述的是什么”，选项C的“组织为实现其目标愿意承担的风险水平和类型”直接映射了这一概念的内核。</w:t>
      </w:r>
    </w:p>
    <w:p>
      <w:pPr>
        <w:spacing w:before="120" w:after="40"/>
      </w:pPr>
      <w:r>
        <w:rPr>
          <w:b/>
          <w:sz w:val="21"/>
          <w:shd w:fill="D6E4F0" w:val="clear"/>
        </w:rPr>
        <w:t>教材原句</w:t>
      </w:r>
    </w:p>
    <w:p>
      <w:pPr>
        <w:spacing w:line="360" w:lineRule="auto" w:after="40"/>
        <w:ind w:firstLine="420"/>
      </w:pPr>
      <w:r>
        <w:t>"The risk appetite statement defines the risk level the organization is willing to operate within to achieve its objectives."</w:t>
      </w:r>
    </w:p>
    <w:p>
      <w:pPr>
        <w:spacing w:before="120" w:after="40"/>
      </w:pPr>
      <w:r>
        <w:rPr>
          <w:b/>
          <w:sz w:val="21"/>
          <w:shd w:fill="D6E4F0" w:val="clear"/>
        </w:rPr>
        <w:t>A项错误</w:t>
      </w:r>
    </w:p>
    <w:p>
      <w:pPr>
        <w:spacing w:line="360" w:lineRule="auto" w:after="40"/>
        <w:ind w:firstLine="420"/>
      </w:pPr>
      <w:r>
        <w:t>教材将“基于风险的方法”定义为优先处理高概率和严重影响的风险</w:t>
      </w:r>
      <w:r>
        <w:rPr>
          <w:sz w:val="15"/>
          <w:vertAlign w:val="superscript"/>
        </w:rPr>
        <w:t>P276</w:t>
      </w:r>
      <w:r>
        <w:t>，它是一种方法论，由机构依据风险偏好来调配资源，而非风险偏好声明本身所描述的对象。题干更直接吻合的是选项C所代表的声明本身，而非声明指导下产生的工作方式。</w:t>
      </w:r>
    </w:p>
    <w:p>
      <w:pPr>
        <w:spacing w:before="120" w:after="40"/>
      </w:pPr>
      <w:r>
        <w:rPr>
          <w:b/>
          <w:sz w:val="21"/>
          <w:shd w:fill="D6E4F0" w:val="clear"/>
        </w:rPr>
        <w:t>B项错误</w:t>
      </w:r>
    </w:p>
    <w:p>
      <w:pPr>
        <w:spacing w:line="360" w:lineRule="auto" w:after="40"/>
        <w:ind w:firstLine="420"/>
      </w:pPr>
      <w:r>
        <w:t>关键风险指标（KRI）与关键绩效指标（KPI）是用于衡量和监控风险的定量定性指标</w:t>
      </w:r>
      <w:r>
        <w:rPr>
          <w:sz w:val="15"/>
          <w:vertAlign w:val="superscript"/>
        </w:rPr>
        <w:t>P296</w:t>
      </w:r>
      <w:r>
        <w:t>，通常出现在管理委员会审查的内部报告中。它们是监控工具，而非作为顶层业务边界设定的风险偏好声明定义的对象。相比之下，教材对选项C的对应关系更直接。</w:t>
      </w:r>
    </w:p>
    <w:p>
      <w:pPr>
        <w:spacing w:before="120" w:after="40"/>
      </w:pPr>
      <w:r>
        <w:rPr>
          <w:b/>
          <w:sz w:val="21"/>
          <w:shd w:fill="D6E4F0" w:val="clear"/>
        </w:rPr>
        <w:t>D项错误</w:t>
      </w:r>
    </w:p>
    <w:p>
      <w:pPr>
        <w:spacing w:line="360" w:lineRule="auto" w:after="40"/>
        <w:ind w:firstLine="420"/>
      </w:pPr>
      <w:r>
        <w:t>金融犯罪防控（AFC）计划是一套确保组织预防、检测、减轻和报告非法金融活动的整体框架</w:t>
      </w:r>
      <w:r>
        <w:rPr>
          <w:sz w:val="15"/>
          <w:vertAlign w:val="superscript"/>
        </w:rPr>
        <w:t>P288</w:t>
      </w:r>
      <w:r>
        <w:t>。风险偏好声明只是该框架中的一个关键要素，二者虽有嵌入关系，但该选项描述的是整个计划的目的，而非风险偏好声明文件本身的具体内容。</w:t>
      </w:r>
    </w:p>
    <w:p>
      <w:pPr>
        <w:spacing w:before="120" w:after="40"/>
      </w:pPr>
      <w:r>
        <w:rPr>
          <w:b/>
          <w:sz w:val="21"/>
          <w:shd w:fill="D6E4F0" w:val="clear"/>
        </w:rPr>
        <w:t>易错提醒</w:t>
      </w:r>
    </w:p>
    <w:p>
      <w:pPr>
        <w:spacing w:line="360" w:lineRule="auto" w:after="40"/>
        <w:ind w:firstLine="420"/>
      </w:pPr>
      <w:r>
        <w:t>风险偏好（Risk Appetite）与风险容忍度（Risk Tolerance）不同。前者是组织为实现目标所愿意接受的总体风险水平与类型</w:t>
      </w:r>
      <w:r>
        <w:rPr>
          <w:sz w:val="15"/>
          <w:vertAlign w:val="superscript"/>
        </w:rPr>
        <w:t>P243</w:t>
      </w:r>
      <w:r>
        <w:t>，后者是在整体风险偏好之内为特定风险类别设定的定量和定性界限</w:t>
      </w:r>
      <w:r>
        <w:rPr>
          <w:sz w:val="15"/>
          <w:vertAlign w:val="superscript"/>
        </w:rPr>
        <w:t>P244</w:t>
      </w:r>
      <w:r>
        <w:t>。声明描述的是前者。</w:t>
      </w:r>
    </w:p>
    <w:p>
      <w:pPr>
        <w:spacing w:line="360" w:lineRule="auto" w:after="120"/>
      </w:pPr>
      <w:r/>
    </w:p>
    <w:p>
      <w:pPr>
        <w:spacing w:line="360" w:lineRule="auto" w:after="40"/>
      </w:pPr>
      <w:r>
        <w:t>4. A key factor in the independence of an AML audit is that the auditor should: ( )</w:t>
      </w:r>
    </w:p>
    <w:p>
      <w:pPr>
        <w:spacing w:line="360" w:lineRule="auto" w:after="20"/>
        <w:ind w:firstLine="283"/>
      </w:pPr>
      <w:r>
        <w:t>A. Have never worked in previous assignments within the AML/CFT department</w:t>
      </w:r>
    </w:p>
    <w:p>
      <w:pPr>
        <w:spacing w:line="360" w:lineRule="auto" w:after="20"/>
        <w:ind w:firstLine="283"/>
      </w:pPr>
      <w:r>
        <w:t>B. Have no involvement with the organization's AML/CFT compliance staff</w:t>
      </w:r>
    </w:p>
    <w:p>
      <w:pPr>
        <w:spacing w:line="360" w:lineRule="auto" w:after="20"/>
        <w:ind w:firstLine="283"/>
      </w:pPr>
      <w:r>
        <w:t>C. Have been screened by the board of directors before the audit starts</w:t>
      </w:r>
    </w:p>
    <w:p>
      <w:pPr>
        <w:spacing w:line="360" w:lineRule="auto" w:after="20"/>
        <w:ind w:firstLine="283"/>
      </w:pPr>
      <w:r>
        <w:t>D. Be sufficiently trained in AML to be able to provide an independent review</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独立审计职能的关键因素是审计员具备充足的 AML 知识与经验。</w:t>
      </w:r>
    </w:p>
    <w:p>
      <w:pPr>
        <w:spacing w:before="120" w:after="40"/>
      </w:pPr>
      <w:r>
        <w:rPr>
          <w:b/>
          <w:sz w:val="21"/>
          <w:shd w:fill="D6E4F0" w:val="clear"/>
        </w:rPr>
        <w:t>核心解析</w:t>
      </w:r>
    </w:p>
    <w:p>
      <w:pPr>
        <w:spacing w:line="360" w:lineRule="auto" w:after="40"/>
        <w:ind w:firstLine="420"/>
      </w:pPr>
      <w:r>
        <w:t>独立审计职能必须具备足够的知识和经验来理解与分析反洗钱计划</w:t>
      </w:r>
      <w:r>
        <w:rPr>
          <w:sz w:val="15"/>
          <w:vertAlign w:val="superscript"/>
        </w:rPr>
        <w:t>P245</w:t>
      </w:r>
      <w:r>
        <w:t>。题干问审计独立性的关键因素在于审计员应当怎样，选项 D“接受过充分的反洗钱培训，能够进行独立审查”直接对应这一能力要求。相比之下，教材规定独立审计需向董事会报告以确保独立性</w:t>
      </w:r>
      <w:r>
        <w:rPr>
          <w:sz w:val="15"/>
          <w:vertAlign w:val="superscript"/>
        </w:rPr>
        <w:t>P256</w:t>
      </w:r>
      <w:r>
        <w:t>，但这是组织层面的报告安排，并非对审计员个体资质的要求，选项 C“经董事会审查”也与报告机制含义不同。因此，从教材对独立审计职能的定义出发，审计员自身的知识经验维度最贴合题干。</w:t>
      </w:r>
    </w:p>
    <w:p>
      <w:pPr>
        <w:spacing w:before="120" w:after="40"/>
      </w:pPr>
      <w:r>
        <w:rPr>
          <w:b/>
          <w:sz w:val="21"/>
          <w:shd w:fill="D6E4F0" w:val="clear"/>
        </w:rPr>
        <w:t>教材原句</w:t>
      </w:r>
    </w:p>
    <w:p>
      <w:pPr>
        <w:spacing w:line="360" w:lineRule="auto" w:after="40"/>
        <w:ind w:firstLine="420"/>
      </w:pPr>
      <w:r>
        <w:t>"Independent audit functions must have sufficient knowledge and experience to understand and analyze the AML program."</w:t>
      </w:r>
    </w:p>
    <w:p>
      <w:pPr>
        <w:spacing w:before="120" w:after="40"/>
      </w:pPr>
      <w:r>
        <w:rPr>
          <w:b/>
          <w:sz w:val="21"/>
          <w:shd w:fill="D6E4F0" w:val="clear"/>
        </w:rPr>
        <w:t>A项错误</w:t>
      </w:r>
    </w:p>
    <w:p>
      <w:pPr>
        <w:spacing w:line="360" w:lineRule="auto" w:after="40"/>
        <w:ind w:firstLine="420"/>
      </w:pPr>
      <w:r>
        <w:t>“从未在AML/CFT部门的以往职位上工作过.”与题干给出的“反洗钱审计独立性的一个关键因素在于审计员应当:”不一致。</w:t>
      </w:r>
    </w:p>
    <w:p>
      <w:pPr>
        <w:spacing w:before="120" w:after="40"/>
      </w:pPr>
      <w:r>
        <w:rPr>
          <w:b/>
          <w:sz w:val="21"/>
          <w:shd w:fill="D6E4F0" w:val="clear"/>
        </w:rPr>
        <w:t>B项错误</w:t>
      </w:r>
    </w:p>
    <w:p>
      <w:pPr>
        <w:spacing w:line="360" w:lineRule="auto" w:after="40"/>
        <w:ind w:firstLine="420"/>
      </w:pPr>
      <w:r>
        <w:t>“与该组织的反洗钱/打击资助恐怖主义合规人员没有任何关联.”与题干给出的“反洗钱审计独立性的一个关键因素在于审计员应当:”不一致。</w:t>
      </w:r>
    </w:p>
    <w:p>
      <w:pPr>
        <w:spacing w:before="120" w:after="40"/>
      </w:pPr>
      <w:r>
        <w:rPr>
          <w:b/>
          <w:sz w:val="21"/>
          <w:shd w:fill="D6E4F0" w:val="clear"/>
        </w:rPr>
        <w:t>C项错误</w:t>
      </w:r>
    </w:p>
    <w:p>
      <w:pPr>
        <w:spacing w:line="360" w:lineRule="auto" w:after="40"/>
        <w:ind w:firstLine="420"/>
      </w:pPr>
      <w:r>
        <w:t>教材指出独立审计职能向审计委员会或董事会报告，是为了保障审计发现不被其他优先级影响</w:t>
      </w:r>
      <w:r>
        <w:rPr>
          <w:sz w:val="15"/>
          <w:vertAlign w:val="superscript"/>
        </w:rPr>
        <w:t>P256</w:t>
      </w:r>
      <w:r>
        <w:t>，但并未要求审计员在开始审计前须经董事会审查。题干问审计员应当具备什么，更直接匹配的是审计员自身的 AML 知识经验，而非来自董事会的程序性审查。</w:t>
      </w:r>
    </w:p>
    <w:p>
      <w:pPr>
        <w:spacing w:before="120" w:after="40"/>
      </w:pPr>
      <w:r>
        <w:rPr>
          <w:b/>
          <w:sz w:val="21"/>
          <w:shd w:fill="D6E4F0" w:val="clear"/>
        </w:rPr>
        <w:t>易错提醒</w:t>
      </w:r>
    </w:p>
    <w:p>
      <w:pPr>
        <w:spacing w:line="360" w:lineRule="auto" w:after="40"/>
        <w:ind w:firstLine="420"/>
      </w:pPr>
      <w:r>
        <w:t>教材区分了独立性的两个维度：一是组织层面的报告线（向董事会报告，P256），二是人员层面的能力要求（审计员必须具备足够 AML 知识经验，P245）。题干聚焦“审计员应当”如何，考的是人员能力维度，而非报告机制。</w:t>
      </w:r>
    </w:p>
    <w:p>
      <w:pPr>
        <w:spacing w:line="360" w:lineRule="auto" w:after="120"/>
      </w:pPr>
      <w:r/>
    </w:p>
    <w:p>
      <w:pPr>
        <w:spacing w:line="360" w:lineRule="auto" w:after="40"/>
      </w:pPr>
      <w:r>
        <w:t>5. One of the basic elements of an effective AML/CFT compliance program is: ( )</w:t>
      </w:r>
    </w:p>
    <w:p>
      <w:pPr>
        <w:spacing w:line="360" w:lineRule="auto" w:after="20"/>
        <w:ind w:firstLine="283"/>
      </w:pPr>
      <w:r>
        <w:t>A. A system of enterprise risk management</w:t>
      </w:r>
    </w:p>
    <w:p>
      <w:pPr>
        <w:spacing w:line="360" w:lineRule="auto" w:after="20"/>
        <w:ind w:firstLine="283"/>
      </w:pPr>
      <w:r>
        <w:t>B. An artificial intelligence-based transaction monitoring system</w:t>
      </w:r>
    </w:p>
    <w:p>
      <w:pPr>
        <w:spacing w:line="360" w:lineRule="auto" w:after="20"/>
        <w:ind w:firstLine="283"/>
      </w:pPr>
      <w:r>
        <w:t>C. An independent and skilled audit function</w:t>
      </w:r>
    </w:p>
    <w:p>
      <w:pPr>
        <w:spacing w:line="360" w:lineRule="auto" w:after="20"/>
        <w:ind w:firstLine="283"/>
      </w:pPr>
      <w:r>
        <w:t>D. An artificial intelligence-based enhanced due diligence system</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识别反洗钱合规计划的法定支柱之一</w:t>
      </w:r>
    </w:p>
    <w:p>
      <w:pPr>
        <w:spacing w:before="120" w:after="40"/>
      </w:pPr>
      <w:r>
        <w:rPr>
          <w:b/>
          <w:sz w:val="21"/>
          <w:shd w:fill="D6E4F0" w:val="clear"/>
        </w:rPr>
        <w:t>核心解析</w:t>
      </w:r>
    </w:p>
    <w:p>
      <w:pPr>
        <w:spacing w:line="360" w:lineRule="auto" w:after="40"/>
        <w:ind w:firstLine="420"/>
      </w:pPr>
      <w:r>
        <w:t>教材在多处通过“支柱”或“防线”框架，界定有效反洗钱合规计划的法定基本要素。《银行保密法》要求义务实体基于五大支柱制定有效反洗钱计划</w:t>
      </w:r>
      <w:r>
        <w:rPr>
          <w:sz w:val="15"/>
          <w:vertAlign w:val="superscript"/>
        </w:rPr>
        <w:t>P180</w:t>
      </w:r>
      <w:r>
        <w:t>，第四大支柱是独立审计职能，用于测试内部反洗钱政策是否充分有效</w:t>
      </w:r>
      <w:r>
        <w:rPr>
          <w:sz w:val="15"/>
          <w:vertAlign w:val="superscript"/>
        </w:rPr>
        <w:t>P245</w:t>
      </w:r>
      <w:r>
        <w:t>。同样，在“三道防线”框架中，独立审计职能作为第三道防线</w:t>
      </w:r>
      <w:r>
        <w:rPr>
          <w:sz w:val="15"/>
          <w:vertAlign w:val="superscript"/>
        </w:rPr>
        <w:t>P256</w:t>
      </w:r>
      <w:r>
        <w:t>，客观评估风险管理与治理的有效性。题干问的是合规计划的“基本要素”，直接对应法定支柱清单里的独立审计职能，C选项正是这一法定支柱的完整表述。</w:t>
      </w:r>
    </w:p>
    <w:p>
      <w:pPr>
        <w:spacing w:before="120" w:after="40"/>
      </w:pPr>
      <w:r>
        <w:rPr>
          <w:b/>
          <w:sz w:val="21"/>
          <w:shd w:fill="D6E4F0" w:val="clear"/>
        </w:rPr>
        <w:t>教材原句</w:t>
      </w:r>
    </w:p>
    <w:p>
      <w:pPr>
        <w:spacing w:line="360" w:lineRule="auto" w:after="40"/>
        <w:ind w:firstLine="420"/>
      </w:pPr>
      <w:r>
        <w:t>"The fourth pillar is an independent audit function that tests whether internal AML policies are adequate and effective."</w:t>
      </w:r>
    </w:p>
    <w:p>
      <w:pPr>
        <w:spacing w:before="120" w:after="40"/>
      </w:pPr>
      <w:r>
        <w:rPr>
          <w:b/>
          <w:sz w:val="21"/>
          <w:shd w:fill="D6E4F0" w:val="clear"/>
        </w:rPr>
        <w:t>A项错误</w:t>
      </w:r>
    </w:p>
    <w:p>
      <w:pPr>
        <w:spacing w:line="360" w:lineRule="auto" w:after="40"/>
        <w:ind w:firstLine="420"/>
      </w:pPr>
      <w:r>
        <w:t>企业风险管理体系是反洗钱合规运作的基础环境（P265称风险评估为风险管理项目的基础），但它本身并未被教材列为合规计划的法定支柱之一。题干问的是合规计划的“基本要素”，正确项更直接匹配法规</w:t>
      </w:r>
      <w:r>
        <w:rPr>
          <w:sz w:val="15"/>
          <w:vertAlign w:val="superscript"/>
        </w:rPr>
        <w:t>P180、P245</w:t>
      </w:r>
      <w:r>
        <w:t>列出的支柱清单。</w:t>
      </w:r>
    </w:p>
    <w:p>
      <w:pPr>
        <w:spacing w:before="120" w:after="40"/>
      </w:pPr>
      <w:r>
        <w:rPr>
          <w:b/>
          <w:sz w:val="21"/>
          <w:shd w:fill="D6E4F0" w:val="clear"/>
        </w:rPr>
        <w:t>B项错误</w:t>
      </w:r>
    </w:p>
    <w:p>
      <w:pPr>
        <w:spacing w:line="360" w:lineRule="auto" w:after="40"/>
        <w:ind w:firstLine="420"/>
      </w:pPr>
      <w:r>
        <w:t>教材在技术演进部分提到AI驱动的交易监控系统可革新欺诈和洗钱检测</w:t>
      </w:r>
      <w:r>
        <w:rPr>
          <w:sz w:val="15"/>
          <w:vertAlign w:val="superscript"/>
        </w:rPr>
        <w:t>P330</w:t>
      </w:r>
      <w:r>
        <w:t>，交易监控本身是合规计划中的一项控制措施，但法规框架将独立审计列为支柱</w:t>
      </w:r>
      <w:r>
        <w:rPr>
          <w:sz w:val="15"/>
          <w:vertAlign w:val="superscript"/>
        </w:rPr>
        <w:t>P180</w:t>
      </w:r>
      <w:r>
        <w:t>，而不是具体的技术工具。正确项比B更吻合监管对法定基本要素的界定。</w:t>
      </w:r>
    </w:p>
    <w:p>
      <w:pPr>
        <w:spacing w:before="120" w:after="40"/>
      </w:pPr>
      <w:r>
        <w:rPr>
          <w:b/>
          <w:sz w:val="21"/>
          <w:shd w:fill="D6E4F0" w:val="clear"/>
        </w:rPr>
        <w:t>D项错误</w:t>
      </w:r>
    </w:p>
    <w:p>
      <w:pPr>
        <w:spacing w:line="360" w:lineRule="auto" w:after="40"/>
        <w:ind w:firstLine="420"/>
      </w:pPr>
      <w:r>
        <w:t>强化尽职调查在教材中出现于高风险场景的管控措施中</w:t>
      </w:r>
      <w:r>
        <w:rPr>
          <w:sz w:val="15"/>
          <w:vertAlign w:val="superscript"/>
        </w:rPr>
        <w:t>P57、P357</w:t>
      </w:r>
      <w:r>
        <w:t>，课程亦提及用AI辅助检测，但监管法规未将“AI驱动的强化尽职调查系统”列为有效合规计划的基本支柱。正确项在教材支柱框架下定位更直接。</w:t>
      </w:r>
    </w:p>
    <w:p>
      <w:pPr>
        <w:spacing w:line="360" w:lineRule="auto" w:after="120"/>
      </w:pPr>
      <w:r/>
    </w:p>
    <w:p>
      <w:pPr>
        <w:spacing w:line="360" w:lineRule="auto" w:after="40"/>
      </w:pPr>
      <w:r>
        <w:t>6. An organization is developing a comprehensive anti-money laundering (AML) framework. Which of the following statements best describes the relationship between AML policies and procedures? ( )</w:t>
      </w:r>
    </w:p>
    <w:p>
      <w:pPr>
        <w:spacing w:line="360" w:lineRule="auto" w:after="20"/>
        <w:ind w:firstLine="283"/>
      </w:pPr>
      <w:r>
        <w:t>A. Policies are detailed instructions for specific processes. Procedures are an overarching framework. Neither policies nor procedures are mandatory for knowledge and adherence.</w:t>
      </w:r>
    </w:p>
    <w:p>
      <w:pPr>
        <w:spacing w:line="360" w:lineRule="auto" w:after="20"/>
        <w:ind w:firstLine="283"/>
      </w:pPr>
      <w:r>
        <w:t>B. Policies are broad guidelines. Procedures are detailed instructions for specific processes. Only procedures are mandatory for knowledge and adherence.</w:t>
      </w:r>
    </w:p>
    <w:p>
      <w:pPr>
        <w:spacing w:line="360" w:lineRule="auto" w:after="20"/>
        <w:ind w:firstLine="283"/>
      </w:pPr>
      <w:r>
        <w:t>C. Policies are detailed instructions for specific processes. Procedures are an overarching framework. Both policies and procedures are mandatory for knowledge and adherence.</w:t>
      </w:r>
    </w:p>
    <w:p>
      <w:pPr>
        <w:spacing w:line="360" w:lineRule="auto" w:after="20"/>
        <w:ind w:firstLine="283"/>
      </w:pPr>
      <w:r>
        <w:t>D. Policies set out the organization's principles and influence the development of procedures. Procedures are detailed instructions for specific processes.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区分政策与程序在 AML 框架中的定义及层级关系</w:t>
      </w:r>
    </w:p>
    <w:p>
      <w:pPr>
        <w:spacing w:before="120" w:after="40"/>
      </w:pPr>
      <w:r>
        <w:rPr>
          <w:b/>
          <w:sz w:val="21"/>
          <w:shd w:fill="D6E4F0" w:val="clear"/>
        </w:rPr>
        <w:t>核心解析</w:t>
      </w:r>
    </w:p>
    <w:p>
      <w:pPr>
        <w:spacing w:line="360" w:lineRule="auto" w:after="40"/>
        <w:ind w:firstLine="420"/>
      </w:pPr>
      <w:r>
        <w:t>教材定义政策旨在解释法律法规并提供框架，程序则是如何实施政策的逐步说明</w:t>
      </w:r>
      <w:r>
        <w:rPr>
          <w:sz w:val="15"/>
          <w:vertAlign w:val="superscript"/>
        </w:rPr>
        <w:t>P244</w:t>
      </w:r>
      <w:r>
        <w:t>。选项 D 指出“政策规定了组织的原则，并影响程序的制定。程序是针对特定流程的详细说明”，这准确反映了政策作为框架的角色以及其对程序的指引关系，因此最准确地描述了二者的关系。</w:t>
      </w:r>
    </w:p>
    <w:p>
      <w:pPr>
        <w:spacing w:before="120" w:after="40"/>
      </w:pPr>
      <w:r>
        <w:rPr>
          <w:b/>
          <w:sz w:val="21"/>
          <w:shd w:fill="D6E4F0" w:val="clear"/>
        </w:rPr>
        <w:t>教材原句</w:t>
      </w:r>
    </w:p>
    <w:p>
      <w:pPr>
        <w:spacing w:line="360" w:lineRule="auto" w:after="40"/>
        <w:ind w:firstLine="420"/>
      </w:pPr>
      <w:r>
        <w:t>"Policies interpret laws and regulations, and provide the framework while procedures are the step-by-step instructions on how to implement the policies."</w:t>
      </w:r>
    </w:p>
    <w:p>
      <w:pPr>
        <w:spacing w:before="120" w:after="40"/>
      </w:pPr>
      <w:r>
        <w:rPr>
          <w:b/>
          <w:sz w:val="21"/>
          <w:shd w:fill="D6E4F0" w:val="clear"/>
        </w:rPr>
        <w:t>A项错误</w:t>
      </w:r>
    </w:p>
    <w:p>
      <w:pPr>
        <w:spacing w:line="360" w:lineRule="auto" w:after="40"/>
        <w:ind w:firstLine="420"/>
      </w:pPr>
      <w:r>
        <w:t>教材将政策定义为提供框架、程序定义为逐步说明</w:t>
      </w:r>
      <w:r>
        <w:rPr>
          <w:sz w:val="15"/>
          <w:vertAlign w:val="superscript"/>
        </w:rPr>
        <w:t>P244</w:t>
      </w:r>
      <w:r>
        <w:t>，且员工应遵循机构的政策和程序</w:t>
      </w:r>
      <w:r>
        <w:rPr>
          <w:sz w:val="15"/>
          <w:vertAlign w:val="superscript"/>
        </w:rPr>
        <w:t>P364</w:t>
      </w:r>
      <w:r>
        <w:t>；A 既颠倒了二者的角色，又错误宣称二者均非强制性，其描述与教材定义及要求的匹配度不如 D。</w:t>
      </w:r>
    </w:p>
    <w:p>
      <w:pPr>
        <w:spacing w:before="120" w:after="40"/>
      </w:pPr>
      <w:r>
        <w:rPr>
          <w:b/>
          <w:sz w:val="21"/>
          <w:shd w:fill="D6E4F0" w:val="clear"/>
        </w:rPr>
        <w:t>B项错误</w:t>
      </w:r>
    </w:p>
    <w:p>
      <w:pPr>
        <w:spacing w:line="360" w:lineRule="auto" w:after="40"/>
        <w:ind w:firstLine="420"/>
      </w:pPr>
      <w:r>
        <w:t>教材要求员工了解和遵循机构的政策与程序</w:t>
      </w:r>
      <w:r>
        <w:rPr>
          <w:sz w:val="15"/>
          <w:vertAlign w:val="superscript"/>
        </w:rPr>
        <w:t>P364</w:t>
      </w:r>
      <w:r>
        <w:t>，并非只有程序需遵守；B 虽正确描述了政策的宽泛指导性和程序的具体性，但将强制性仅限于程序，未完整反映教材对二者的要求，与题干所问关系的匹配度低于 D。</w:t>
      </w:r>
    </w:p>
    <w:p>
      <w:pPr>
        <w:spacing w:before="120" w:after="40"/>
      </w:pPr>
      <w:r>
        <w:rPr>
          <w:b/>
          <w:sz w:val="21"/>
          <w:shd w:fill="D6E4F0" w:val="clear"/>
        </w:rPr>
        <w:t>C项错误</w:t>
      </w:r>
    </w:p>
    <w:p>
      <w:pPr>
        <w:spacing w:line="360" w:lineRule="auto" w:after="40"/>
        <w:ind w:firstLine="420"/>
      </w:pPr>
      <w:r>
        <w:t>教材规定政策提供框架、程序为逐步实施指南</w:t>
      </w:r>
      <w:r>
        <w:rPr>
          <w:sz w:val="15"/>
          <w:vertAlign w:val="superscript"/>
        </w:rPr>
        <w:t>P244</w:t>
      </w:r>
      <w:r>
        <w:t>，C 将二者的角色颠倒，即便认识到二者均需遵守，角色错位导致其描述与教材定义的一致性不如 D。</w:t>
      </w:r>
    </w:p>
    <w:p>
      <w:pPr>
        <w:spacing w:before="120" w:after="40"/>
      </w:pPr>
      <w:r>
        <w:rPr>
          <w:b/>
          <w:sz w:val="21"/>
          <w:shd w:fill="D6E4F0" w:val="clear"/>
        </w:rPr>
        <w:t>易错提醒</w:t>
      </w:r>
    </w:p>
    <w:p>
      <w:pPr>
        <w:spacing w:line="360" w:lineRule="auto" w:after="40"/>
        <w:ind w:firstLine="420"/>
      </w:pPr>
      <w:r>
        <w:t>政策与程序易混淆在两个维度：一是层级——政策是原则性框架，程序是逐步操作指南</w:t>
      </w:r>
      <w:r>
        <w:rPr>
          <w:sz w:val="15"/>
          <w:vertAlign w:val="superscript"/>
        </w:rPr>
        <w:t>P244</w:t>
      </w:r>
      <w:r>
        <w:t>；二是强制性——二者均需了解与遵守</w:t>
      </w:r>
      <w:r>
        <w:rPr>
          <w:sz w:val="15"/>
          <w:vertAlign w:val="superscript"/>
        </w:rPr>
        <w:t>P364</w:t>
      </w:r>
      <w:r>
        <w:t>。区分时抓住这两点即可判断。</w:t>
      </w:r>
    </w:p>
    <w:p>
      <w:pPr>
        <w:spacing w:line="360" w:lineRule="auto" w:after="120"/>
      </w:pPr>
      <w:r/>
    </w:p>
    <w:p>
      <w:pPr>
        <w:spacing w:line="360" w:lineRule="auto" w:after="40"/>
      </w:pPr>
      <w:r>
        <w:t>7. What key element contributes to the effectiveness of AML training programs? ( )</w:t>
      </w:r>
    </w:p>
    <w:p>
      <w:pPr>
        <w:spacing w:line="360" w:lineRule="auto" w:after="20"/>
        <w:ind w:firstLine="283"/>
      </w:pPr>
      <w:r>
        <w:t>A. In-person training sessions</w:t>
      </w:r>
    </w:p>
    <w:p>
      <w:pPr>
        <w:spacing w:line="360" w:lineRule="auto" w:after="20"/>
        <w:ind w:firstLine="283"/>
      </w:pPr>
      <w:r>
        <w:t>B. Comprehensive curriculum delivered by senior management</w:t>
      </w:r>
    </w:p>
    <w:p>
      <w:pPr>
        <w:spacing w:line="360" w:lineRule="auto" w:after="20"/>
        <w:ind w:firstLine="283"/>
      </w:pPr>
      <w:r>
        <w:t>C. Comprehensive content with engaging delivery methods</w:t>
      </w:r>
    </w:p>
    <w:p>
      <w:pPr>
        <w:spacing w:line="360" w:lineRule="auto" w:after="20"/>
        <w:ind w:firstLine="283"/>
      </w:pPr>
      <w:r>
        <w:t>D. Generalized content designed to apply to a broad audience</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判断有效培训的关键在内容全面性与呈现方式，而非形式或讲授者层级</w:t>
      </w:r>
    </w:p>
    <w:p>
      <w:pPr>
        <w:spacing w:before="120" w:after="40"/>
      </w:pPr>
      <w:r>
        <w:rPr>
          <w:b/>
          <w:sz w:val="21"/>
          <w:shd w:fill="D6E4F0" w:val="clear"/>
        </w:rPr>
        <w:t>核心解析</w:t>
      </w:r>
    </w:p>
    <w:p>
      <w:pPr>
        <w:spacing w:line="360" w:lineRule="auto" w:after="40"/>
        <w:ind w:firstLine="420"/>
      </w:pPr>
      <w:r>
        <w:t>第三大支柱要求定期、持续的反洗钱培训</w:t>
      </w:r>
      <w:r>
        <w:rPr>
          <w:sz w:val="15"/>
          <w:vertAlign w:val="superscript"/>
        </w:rPr>
        <w:t>P245</w:t>
      </w:r>
      <w:r>
        <w:t>，培训内容应覆盖内部控制并清晰说明员工在反洗钱计划中的角色与职责</w:t>
      </w:r>
      <w:r>
        <w:rPr>
          <w:sz w:val="15"/>
          <w:vertAlign w:val="superscript"/>
        </w:rPr>
        <w:t>P245</w:t>
      </w:r>
      <w:r>
        <w:t>。有效的培训既需要内容全面——涵盖政策、程序、风险意识等，又需要呈现方式引人入胜——让员工真正理解和应用。选项C同时满足这两点，因此是决定有效性的关键要素。</w:t>
      </w:r>
    </w:p>
    <w:p>
      <w:pPr>
        <w:spacing w:before="120" w:after="40"/>
      </w:pPr>
      <w:r>
        <w:rPr>
          <w:b/>
          <w:sz w:val="21"/>
          <w:shd w:fill="D6E4F0" w:val="clear"/>
        </w:rPr>
        <w:t>教材原句</w:t>
      </w:r>
    </w:p>
    <w:p>
      <w:pPr>
        <w:spacing w:line="360" w:lineRule="auto" w:after="40"/>
        <w:ind w:firstLine="420"/>
      </w:pPr>
      <w:r>
        <w:t>"Training should cover internal controls and clearly explain employees’ roles and responsibilities within the AML program."</w:t>
      </w:r>
    </w:p>
    <w:p>
      <w:pPr>
        <w:spacing w:before="120" w:after="40"/>
      </w:pPr>
      <w:r>
        <w:rPr>
          <w:b/>
          <w:sz w:val="21"/>
          <w:shd w:fill="D6E4F0" w:val="clear"/>
        </w:rPr>
        <w:t>A项错误</w:t>
      </w:r>
    </w:p>
    <w:p>
      <w:pPr>
        <w:spacing w:line="360" w:lineRule="auto" w:after="40"/>
        <w:ind w:firstLine="420"/>
      </w:pPr>
      <w:r>
        <w:t>教材并未将线下培训作为有效性的必要条件，培训可通过线上、线下等多种方式开展，仅强调形式而忽略内容和呈现，在教材框架下匹配度远不如C。</w:t>
      </w:r>
    </w:p>
    <w:p>
      <w:pPr>
        <w:spacing w:before="120" w:after="40"/>
      </w:pPr>
      <w:r>
        <w:rPr>
          <w:b/>
          <w:sz w:val="21"/>
          <w:shd w:fill="D6E4F0" w:val="clear"/>
        </w:rPr>
        <w:t>B项错误</w:t>
      </w:r>
    </w:p>
    <w:p>
      <w:pPr>
        <w:spacing w:line="360" w:lineRule="auto" w:after="40"/>
        <w:ind w:firstLine="420"/>
      </w:pPr>
      <w:r>
        <w:t>教材要求高级管理层的承诺和支持</w:t>
      </w:r>
      <w:r>
        <w:rPr>
          <w:sz w:val="15"/>
          <w:vertAlign w:val="superscript"/>
        </w:rPr>
        <w:t>P271</w:t>
      </w:r>
      <w:r>
        <w:t>，但未要求其亲自讲授培训；培训效果的核心是内容全面且引人入胜，而非讲授者职位高低，题干条件更直接匹配C。</w:t>
      </w:r>
    </w:p>
    <w:p>
      <w:pPr>
        <w:spacing w:before="120" w:after="40"/>
      </w:pPr>
      <w:r>
        <w:rPr>
          <w:b/>
          <w:sz w:val="21"/>
          <w:shd w:fill="D6E4F0" w:val="clear"/>
        </w:rPr>
        <w:t>D项错误</w:t>
      </w:r>
    </w:p>
    <w:p>
      <w:pPr>
        <w:spacing w:line="360" w:lineRule="auto" w:after="40"/>
        <w:ind w:firstLine="420"/>
      </w:pPr>
      <w:r>
        <w:t>教材强调向特定群体提供针对性培训，如向经纪人强调红旗信号和合规义务</w:t>
      </w:r>
      <w:r>
        <w:rPr>
          <w:sz w:val="15"/>
          <w:vertAlign w:val="superscript"/>
        </w:rPr>
        <w:t>P103</w:t>
      </w:r>
      <w:r>
        <w:t>，通用内容设计与风险为本方法相悖，相比之下C更吻合教材对有效培训的要求。</w:t>
      </w:r>
    </w:p>
    <w:p>
      <w:pPr>
        <w:spacing w:before="120" w:after="40"/>
      </w:pPr>
      <w:r>
        <w:rPr>
          <w:b/>
          <w:sz w:val="21"/>
          <w:shd w:fill="D6E4F0" w:val="clear"/>
        </w:rPr>
        <w:t>易错提醒</w:t>
      </w:r>
    </w:p>
    <w:p>
      <w:pPr>
        <w:spacing w:line="360" w:lineRule="auto" w:after="40"/>
        <w:ind w:firstLine="420"/>
      </w:pPr>
      <w:r>
        <w:t>易混淆“高级管理层承诺与支持”和“由高级管理层亲自讲授培训”。教材要求高层承诺，但培训有效性的关键在于内容全面且呈现方式引人入胜</w:t>
      </w:r>
      <w:r>
        <w:rPr>
          <w:sz w:val="15"/>
          <w:vertAlign w:val="superscript"/>
        </w:rPr>
        <w:t>P245，P271</w:t>
      </w:r>
      <w:r>
        <w:t>，而非讲授者层级。</w:t>
      </w:r>
    </w:p>
    <w:p>
      <w:pPr>
        <w:spacing w:line="360" w:lineRule="auto" w:after="120"/>
      </w:pPr>
      <w:r/>
    </w:p>
    <w:p>
      <w:pPr>
        <w:spacing w:line="360" w:lineRule="auto" w:after="40"/>
      </w:pPr>
      <w:r>
        <w:t>8. Which of the following are considered best practices regarding senior management involvement in a financial crime compliance program? (Select Two.) ( )</w:t>
      </w:r>
    </w:p>
    <w:p>
      <w:pPr>
        <w:spacing w:line="360" w:lineRule="auto" w:after="20"/>
        <w:ind w:firstLine="283"/>
      </w:pPr>
      <w:r>
        <w:t>A. Mandatory participation in all regulatory inspections</w:t>
      </w:r>
    </w:p>
    <w:p>
      <w:pPr>
        <w:spacing w:line="360" w:lineRule="auto" w:after="20"/>
        <w:ind w:firstLine="283"/>
      </w:pPr>
      <w:r>
        <w:t>B. Mandatory attendance at and review of all financial crime-related training</w:t>
      </w:r>
    </w:p>
    <w:p>
      <w:pPr>
        <w:spacing w:line="360" w:lineRule="auto" w:after="20"/>
        <w:ind w:firstLine="283"/>
      </w:pPr>
      <w:r>
        <w:t>C. Setting clear criteria for escalations to senior management</w:t>
      </w:r>
    </w:p>
    <w:p>
      <w:pPr>
        <w:spacing w:line="360" w:lineRule="auto" w:after="20"/>
        <w:ind w:firstLine="283"/>
      </w:pPr>
      <w:r>
        <w:t>D. Setting the tone from the top</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识别高级管理层参与合规计划的最佳实践：升级标准与高层基调</w:t>
      </w:r>
    </w:p>
    <w:p>
      <w:pPr>
        <w:spacing w:before="120" w:after="40"/>
      </w:pPr>
      <w:r>
        <w:rPr>
          <w:b/>
          <w:sz w:val="21"/>
          <w:shd w:fill="D6E4F0" w:val="clear"/>
        </w:rPr>
        <w:t>核心解析</w:t>
      </w:r>
    </w:p>
    <w:p>
      <w:pPr>
        <w:spacing w:line="360" w:lineRule="auto" w:after="40"/>
        <w:ind w:firstLine="420"/>
      </w:pPr>
      <w:r>
        <w:t>高级管理层在金融犯罪合规计划中的参与，重点体现在两方面。第一，体系设计上，反洗钱政策必须内置问题上报程序，明确什么情况、按什么标准升级至高级管理层和董事会</w:t>
      </w:r>
      <w:r>
        <w:rPr>
          <w:sz w:val="15"/>
          <w:vertAlign w:val="superscript"/>
        </w:rPr>
        <w:t>P244</w:t>
      </w:r>
      <w:r>
        <w:t>。第二，文化塑造上，领导层要积极支持并理解合规工作，始终向员工传递合规要求优先于商业利益的信号，这被定义为“高层基调”</w:t>
      </w:r>
      <w:r>
        <w:rPr>
          <w:sz w:val="15"/>
          <w:vertAlign w:val="superscript"/>
        </w:rPr>
        <w:t>P264</w:t>
      </w:r>
      <w:r>
        <w:t>。因此，“设定向高级管理层升级问题的明确标准”和“自上而下定基调”直接对应上述两项核心要求，是公认的最佳实践。</w:t>
      </w:r>
    </w:p>
    <w:p>
      <w:pPr>
        <w:spacing w:before="120" w:after="40"/>
      </w:pPr>
      <w:r>
        <w:rPr>
          <w:b/>
          <w:sz w:val="21"/>
          <w:shd w:fill="D6E4F0" w:val="clear"/>
        </w:rPr>
        <w:t>教材原句</w:t>
      </w:r>
    </w:p>
    <w:p>
      <w:pPr>
        <w:spacing w:line="360" w:lineRule="auto" w:after="40"/>
        <w:ind w:firstLine="420"/>
      </w:pPr>
      <w:r>
        <w:t>"AML policies should also include escalation procedures for escalating concerns to senior management and the board of directors."</w:t>
      </w:r>
    </w:p>
    <w:p>
      <w:pPr>
        <w:spacing w:before="120" w:after="40"/>
      </w:pPr>
      <w:r>
        <w:rPr>
          <w:b/>
          <w:sz w:val="21"/>
          <w:shd w:fill="D6E4F0" w:val="clear"/>
        </w:rPr>
        <w:t>A项错误</w:t>
      </w:r>
    </w:p>
    <w:p>
      <w:pPr>
        <w:spacing w:line="360" w:lineRule="auto" w:after="40"/>
        <w:ind w:firstLine="420"/>
      </w:pPr>
      <w:r>
        <w:t>高级管理层在监管检查中的角色通常是督导与支持，并非必须亲自参加每一次检查。题干提出的“最佳实践”更侧重战略层面的框架与文化，而非具体操作参与，选项A的要求超出了教材对高层参与的一般描述。</w:t>
      </w:r>
    </w:p>
    <w:p>
      <w:pPr>
        <w:spacing w:before="120" w:after="40"/>
      </w:pPr>
      <w:r>
        <w:rPr>
          <w:b/>
          <w:sz w:val="21"/>
          <w:shd w:fill="D6E4F0" w:val="clear"/>
        </w:rPr>
        <w:t>B项错误</w:t>
      </w:r>
    </w:p>
    <w:p>
      <w:pPr>
        <w:spacing w:line="360" w:lineRule="auto" w:after="40"/>
        <w:ind w:firstLine="420"/>
      </w:pPr>
      <w:r>
        <w:t>教材将员工反洗钱培训列为独立控制支柱</w:t>
      </w:r>
      <w:r>
        <w:rPr>
          <w:sz w:val="15"/>
          <w:vertAlign w:val="superscript"/>
        </w:rPr>
        <w:t>P245</w:t>
      </w:r>
      <w:r>
        <w:t>，其主体是全体员工，并未强制规定高级管理层必须亲自参加和审查所有培训。相比之下，C和D直接对应升级机制与合规文化，更吻合高级管理层在合规计划中的战略性参与。</w:t>
      </w:r>
    </w:p>
    <w:p>
      <w:pPr>
        <w:spacing w:before="120" w:after="40"/>
      </w:pPr>
      <w:r>
        <w:rPr>
          <w:b/>
          <w:sz w:val="21"/>
          <w:shd w:fill="D6E4F0" w:val="clear"/>
        </w:rPr>
        <w:t>易错提醒</w:t>
      </w:r>
    </w:p>
    <w:p>
      <w:pPr>
        <w:spacing w:line="360" w:lineRule="auto" w:after="40"/>
        <w:ind w:firstLine="420"/>
      </w:pPr>
      <w:r>
        <w:t>高层基调（tone from the top）强调领导层对合规文化的倡导与示范作用，而非要求高级管理层亲自介入每一项具体工作（比如参加所有检查或审查所有培训）。把握这一区分，就能识别哪些是战略层面的最佳实践，哪些是过度具体化的要求。</w:t>
      </w:r>
    </w:p>
    <w:p>
      <w:pPr>
        <w:spacing w:line="360" w:lineRule="auto" w:after="120"/>
      </w:pPr>
      <w:r/>
    </w:p>
    <w:p>
      <w:pPr>
        <w:spacing w:line="360" w:lineRule="auto" w:after="40"/>
      </w:pPr>
      <w:r>
        <w:t>9. Which of the following AML/CFT arrangements should a bank have in place at minimum before opening for business? (Choose three.) ( )</w:t>
      </w:r>
    </w:p>
    <w:p>
      <w:pPr>
        <w:spacing w:line="360" w:lineRule="auto" w:after="20"/>
        <w:ind w:firstLine="283"/>
      </w:pPr>
      <w:r>
        <w:t>A. Independent compliance testing</w:t>
      </w:r>
    </w:p>
    <w:p>
      <w:pPr>
        <w:spacing w:line="360" w:lineRule="auto" w:after="20"/>
        <w:ind w:firstLine="283"/>
      </w:pPr>
      <w:r>
        <w:t>B. Qualified and knowledgeable staff</w:t>
      </w:r>
    </w:p>
    <w:p>
      <w:pPr>
        <w:spacing w:line="360" w:lineRule="auto" w:after="20"/>
        <w:ind w:firstLine="283"/>
      </w:pPr>
      <w:r>
        <w:t>C. Third-party screening software</w:t>
      </w:r>
    </w:p>
    <w:p>
      <w:pPr>
        <w:spacing w:line="360" w:lineRule="auto" w:after="20"/>
        <w:ind w:firstLine="283"/>
      </w:pPr>
      <w:r>
        <w:t>D. An automated monitoring system</w:t>
      </w:r>
    </w:p>
    <w:p>
      <w:pPr>
        <w:spacing w:line="360" w:lineRule="auto" w:after="20"/>
        <w:ind w:firstLine="283"/>
      </w:pPr>
      <w:r>
        <w:t>E. Written policy and procedures</w:t>
      </w:r>
    </w:p>
    <w:p>
      <w:pPr>
        <w:spacing w:line="360" w:lineRule="auto" w:after="40"/>
      </w:pPr>
      <w:r>
        <w:t>答案：A、B、E</w:t>
      </w:r>
    </w:p>
    <w:p>
      <w:pPr>
        <w:spacing w:line="360" w:lineRule="auto" w:after="40"/>
      </w:pPr>
      <w:r>
        <w:t>解析：</w:t>
      </w:r>
    </w:p>
    <w:p>
      <w:pPr>
        <w:spacing w:before="120" w:after="40"/>
      </w:pPr>
      <w:r>
        <w:rPr>
          <w:b/>
          <w:sz w:val="21"/>
          <w:shd w:fill="D6E4F0" w:val="clear"/>
        </w:rPr>
        <w:t>考点</w:t>
      </w:r>
    </w:p>
    <w:p>
      <w:pPr>
        <w:spacing w:line="360" w:lineRule="auto" w:after="40"/>
        <w:ind w:firstLine="420"/>
      </w:pPr>
      <w:r>
        <w:t>反洗钱合规计划的最低开业必备要素</w:t>
      </w:r>
    </w:p>
    <w:p>
      <w:pPr>
        <w:spacing w:before="120" w:after="40"/>
      </w:pPr>
      <w:r>
        <w:rPr>
          <w:b/>
          <w:sz w:val="21"/>
          <w:shd w:fill="D6E4F0" w:val="clear"/>
        </w:rPr>
        <w:t>核心解析</w:t>
      </w:r>
    </w:p>
    <w:p>
      <w:pPr>
        <w:spacing w:line="360" w:lineRule="auto" w:after="40"/>
        <w:ind w:firstLine="420"/>
      </w:pPr>
      <w:r>
        <w:t>教材在阐述反洗钱合规计划的支柱时指出，一个有效的反洗钱计划包含五项核心支柱：内部政策、程序与控制措施；指定反洗钱合规官；持续员工培训；独立审计；以及客户尽职调查</w:t>
      </w:r>
      <w:r>
        <w:rPr>
          <w:sz w:val="15"/>
          <w:vertAlign w:val="superscript"/>
        </w:rPr>
        <w:t>P244</w:t>
      </w:r>
      <w:r>
        <w:t>。同时，澳大利亚2006年反洗钱/反恐怖融资法案明确要求报告实体实施并维护反洗钱/反恐怖融资合规计划，其内容包括风险评估、客户尽职调查与监管报告相关的内部控制、员工培训，以及独立审查</w:t>
      </w:r>
      <w:r>
        <w:rPr>
          <w:sz w:val="15"/>
          <w:vertAlign w:val="superscript"/>
        </w:rPr>
        <w:t>P196</w:t>
      </w:r>
      <w:r>
        <w:t>。题干问的是银行在“开业前”至少应具备哪些安排——即合规计划的基础框架，而非开业后逐步引入的技术工具。选项A（独立合规测试）对应独立审计/独立审查这一支柱；选项B（有资质且知识渊博的员工）是员工培训支柱的前提——只有先配备合格人员，持续培训才有落脚点；选项E（书面政策和程序）对应内部政策与程序这一基石框架。这三者构成了银行开业前必须搭建的合规制度骨架。</w:t>
      </w:r>
    </w:p>
    <w:p>
      <w:pPr>
        <w:spacing w:before="120" w:after="40"/>
      </w:pPr>
      <w:r>
        <w:rPr>
          <w:b/>
          <w:sz w:val="21"/>
          <w:shd w:fill="D6E4F0" w:val="clear"/>
        </w:rPr>
        <w:t>C项错误</w:t>
      </w:r>
    </w:p>
    <w:p>
      <w:pPr>
        <w:spacing w:line="360" w:lineRule="auto" w:after="40"/>
        <w:ind w:firstLine="420"/>
      </w:pPr>
      <w:r>
        <w:t>教材提及第三方供应商可提供制裁名单、政治敏感人物名单等外部数据用于筛查</w:t>
      </w:r>
      <w:r>
        <w:rPr>
          <w:sz w:val="15"/>
          <w:vertAlign w:val="superscript"/>
        </w:rPr>
        <w:t>P419</w:t>
      </w:r>
      <w:r>
        <w:t>，但这是制裁筛查或名单管理控制中可选用的工具渠道，不属于合规计划本身必须由银行自身在开业时就配备的制度要素。相比之下，正确项“书面政策和程序”是合规计划的基石框架</w:t>
      </w:r>
      <w:r>
        <w:rPr>
          <w:sz w:val="15"/>
          <w:vertAlign w:val="superscript"/>
        </w:rPr>
        <w:t>P244</w:t>
      </w:r>
      <w:r>
        <w:t>，是开业前必须先确立的内部文件，匹配度更直接。</w:t>
      </w:r>
    </w:p>
    <w:p>
      <w:pPr>
        <w:spacing w:before="120" w:after="40"/>
      </w:pPr>
      <w:r>
        <w:rPr>
          <w:b/>
          <w:sz w:val="21"/>
          <w:shd w:fill="D6E4F0" w:val="clear"/>
        </w:rPr>
        <w:t>D项错误</w:t>
      </w:r>
    </w:p>
    <w:p>
      <w:pPr>
        <w:spacing w:line="360" w:lineRule="auto" w:after="40"/>
        <w:ind w:firstLine="420"/>
      </w:pPr>
      <w:r>
        <w:t>教材指出自动化系统用于持续监控媒体来源和客户风险状况变化</w:t>
      </w:r>
      <w:r>
        <w:rPr>
          <w:sz w:val="15"/>
          <w:vertAlign w:val="superscript"/>
        </w:rPr>
        <w:t>P416</w:t>
      </w:r>
      <w:r>
        <w:t>，交易监控控制通常由自动化系统运行</w:t>
      </w:r>
      <w:r>
        <w:rPr>
          <w:sz w:val="15"/>
          <w:vertAlign w:val="superscript"/>
        </w:rPr>
        <w:t>P328</w:t>
      </w:r>
      <w:r>
        <w:t>。但题干问的是“开业前”的最低限度安排，教材在阐述控制措施时也承认相关系统“可能仍在开发中”</w:t>
      </w:r>
      <w:r>
        <w:rPr>
          <w:sz w:val="15"/>
          <w:vertAlign w:val="superscript"/>
        </w:rPr>
        <w:t>P278</w:t>
      </w:r>
      <w:r>
        <w:t>，这说明自动化监测系统并非开业时就必须已经具备的前置条件。相比之下，正确项所对应的内部政策程序、合格人员、独立审查等要素在教材中被列为合规计划的支柱性基础</w:t>
      </w:r>
      <w:r>
        <w:rPr>
          <w:sz w:val="15"/>
          <w:vertAlign w:val="superscript"/>
        </w:rPr>
        <w:t>P244</w:t>
      </w:r>
      <w:r>
        <w:t>，是开业时不可或缺的制度前提。</w:t>
      </w:r>
    </w:p>
    <w:p>
      <w:pPr>
        <w:spacing w:before="120" w:after="40"/>
      </w:pPr>
      <w:r>
        <w:rPr>
          <w:b/>
          <w:sz w:val="21"/>
          <w:shd w:fill="D6E4F0" w:val="clear"/>
        </w:rPr>
        <w:t>易错提醒</w:t>
      </w:r>
    </w:p>
    <w:p>
      <w:pPr>
        <w:spacing w:line="360" w:lineRule="auto" w:after="40"/>
        <w:ind w:firstLine="420"/>
      </w:pPr>
      <w:r>
        <w:t>区分“合规计划的制度框架”与“运营中逐步引入的技术工具”。教材明确反洗钱合规计划的核心支柱是内部政策程序、指定合规官、持续培训、独立审计和客户尽职调查</w:t>
      </w:r>
      <w:r>
        <w:rPr>
          <w:sz w:val="15"/>
          <w:vertAlign w:val="superscript"/>
        </w:rPr>
        <w:t>P244</w:t>
      </w:r>
      <w:r>
        <w:t>；而第三方筛选软件、自动化监测系统属于实施方案时选用的控制手段或技术渠道</w:t>
      </w:r>
      <w:r>
        <w:rPr>
          <w:sz w:val="15"/>
          <w:vertAlign w:val="superscript"/>
        </w:rPr>
        <w:t>P419，P416</w:t>
      </w:r>
      <w:r>
        <w:t>，它们服务于制度框架但不等同于制度框架本身。题干问“开业前至少应具备”的，指向的是基础制度框架，而非所有日后可能采用的技术手段。</w:t>
      </w:r>
    </w:p>
    <w:p>
      <w:pPr>
        <w:spacing w:line="360" w:lineRule="auto" w:after="120"/>
      </w:pPr>
      <w:r/>
    </w:p>
    <w:p>
      <w:pPr>
        <w:spacing w:line="360" w:lineRule="auto" w:after="40"/>
      </w:pPr>
      <w:r>
        <w:t>10. Which of the following are considered best practices for effective AML/CFT training programs? (Select Three.) ( )</w:t>
      </w:r>
    </w:p>
    <w:p>
      <w:pPr>
        <w:spacing w:line="360" w:lineRule="auto" w:after="20"/>
        <w:ind w:firstLine="283"/>
      </w:pPr>
      <w:r>
        <w:t>A. Training should cover practical examples, use case studies, and provide information on how to comply with policies.</w:t>
      </w:r>
    </w:p>
    <w:p>
      <w:pPr>
        <w:spacing w:line="360" w:lineRule="auto" w:after="20"/>
        <w:ind w:firstLine="283"/>
      </w:pPr>
      <w:r>
        <w:t>B. Up-to-date records, including training logs and completion dates, should be maintained.</w:t>
      </w:r>
    </w:p>
    <w:p>
      <w:pPr>
        <w:spacing w:line="360" w:lineRule="auto" w:after="20"/>
        <w:ind w:firstLine="283"/>
      </w:pPr>
      <w:r>
        <w:t>C. Training should be broad, high-level, and not role-specific in order to reach the largest audience.</w:t>
      </w:r>
    </w:p>
    <w:p>
      <w:pPr>
        <w:spacing w:line="360" w:lineRule="auto" w:after="20"/>
        <w:ind w:firstLine="283"/>
      </w:pPr>
      <w:r>
        <w:t>D. Training should cover the consequences of not complying with policies and procedures.</w:t>
      </w:r>
    </w:p>
    <w:p>
      <w:pPr>
        <w:spacing w:line="360" w:lineRule="auto" w:after="20"/>
        <w:ind w:firstLine="283"/>
      </w:pPr>
      <w:r>
        <w:t>E. Training should always be provided by an independent third party.</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区分有效反洗钱培训特征：案例教学、记录保存、后果警示与角色针对性</w:t>
      </w:r>
    </w:p>
    <w:p>
      <w:pPr>
        <w:spacing w:before="120" w:after="40"/>
      </w:pPr>
      <w:r>
        <w:rPr>
          <w:b/>
          <w:sz w:val="21"/>
          <w:shd w:fill="D6E4F0" w:val="clear"/>
        </w:rPr>
        <w:t>核心解析</w:t>
      </w:r>
    </w:p>
    <w:p>
      <w:pPr>
        <w:spacing w:line="360" w:lineRule="auto" w:after="40"/>
        <w:ind w:firstLine="420"/>
      </w:pPr>
      <w:r>
        <w:t>教材将定期、持续的员工培训列为反洗钱计划的第三大支柱</w:t>
      </w:r>
      <w:r>
        <w:rPr>
          <w:sz w:val="15"/>
          <w:vertAlign w:val="superscript"/>
        </w:rPr>
        <w:t>P245</w:t>
      </w:r>
      <w:r>
        <w:t>，并具体要求培训应涵盖内部控制、清晰说明员工在反洗钱计划中的角色与职责</w:t>
      </w:r>
      <w:r>
        <w:rPr>
          <w:sz w:val="15"/>
          <w:vertAlign w:val="superscript"/>
        </w:rPr>
        <w:t>P245</w:t>
      </w:r>
      <w:r>
        <w:t>。同时，教材鼓励使用行业特定案例研究课程来提供详细分析</w:t>
      </w:r>
      <w:r>
        <w:rPr>
          <w:sz w:val="15"/>
          <w:vertAlign w:val="superscript"/>
        </w:rPr>
        <w:t>P50</w:t>
      </w:r>
      <w:r>
        <w:t>。在记录保存方面，教材强调保持完整有序的记录以展示合规承诺，所有记录应易于访问和检索</w:t>
      </w:r>
      <w:r>
        <w:rPr>
          <w:sz w:val="15"/>
          <w:vertAlign w:val="superscript"/>
        </w:rPr>
        <w:t>P359</w:t>
      </w:r>
      <w:r>
        <w:t>。关于不合规后果，教材指明不合规可导致严重罚款、声誉损害和监管执法行动</w:t>
      </w:r>
      <w:r>
        <w:rPr>
          <w:sz w:val="15"/>
          <w:vertAlign w:val="superscript"/>
        </w:rPr>
        <w:t>P297</w:t>
      </w:r>
      <w:r>
        <w:t>。由此，选项A（案例研究、如何遵守政策）契合案例教学与职责说明；选项B（保存培训日志和完成日期）契合记录保存要求；选项D（涵盖不遵守政策的后果）契合后果警示，三者均属有效培训最佳实践。选项C主张培训应广泛、高水平且不针对角色，与教材要求培训说明员工角色职责相悖，泛泛培训并非最佳实践。选项E要求培训始终由独立第三方提供，教材未作此限定，仅建议投资于持续培训</w:t>
      </w:r>
      <w:r>
        <w:rPr>
          <w:sz w:val="15"/>
          <w:vertAlign w:val="superscript"/>
        </w:rPr>
        <w:t>P51</w:t>
      </w:r>
      <w:r>
        <w:t>，故缺乏依据。</w:t>
      </w:r>
    </w:p>
    <w:p>
      <w:pPr>
        <w:spacing w:before="120" w:after="40"/>
      </w:pPr>
      <w:r>
        <w:rPr>
          <w:b/>
          <w:sz w:val="21"/>
          <w:shd w:fill="D6E4F0" w:val="clear"/>
        </w:rPr>
        <w:t>教材原句</w:t>
      </w:r>
    </w:p>
    <w:p>
      <w:pPr>
        <w:spacing w:line="360" w:lineRule="auto" w:after="40"/>
        <w:ind w:firstLine="420"/>
      </w:pPr>
      <w:r>
        <w:t>"Training should cover internal controls and clearly explain employees’ roles and responsibilities within the AML program."</w:t>
      </w:r>
    </w:p>
    <w:p>
      <w:pPr>
        <w:spacing w:before="120" w:after="40"/>
      </w:pPr>
      <w:r>
        <w:rPr>
          <w:b/>
          <w:sz w:val="21"/>
          <w:shd w:fill="D6E4F0" w:val="clear"/>
        </w:rPr>
        <w:t>C项错误</w:t>
      </w:r>
    </w:p>
    <w:p>
      <w:pPr>
        <w:spacing w:line="360" w:lineRule="auto" w:after="40"/>
        <w:ind w:firstLine="420"/>
      </w:pPr>
      <w:r>
        <w:t>教材指出培训应清晰说明员工在反洗钱计划中的角色与职责</w:t>
      </w:r>
      <w:r>
        <w:rPr>
          <w:sz w:val="15"/>
          <w:vertAlign w:val="superscript"/>
        </w:rPr>
        <w:t>P245</w:t>
      </w:r>
      <w:r>
        <w:t>，因而有效培训须针对具体角色，而非“广泛、高水平且不针对特定角色”。选项C的泛化做法在教材框架下匹配度不如正确项，正确项更直接体现了角色针对性。</w:t>
      </w:r>
    </w:p>
    <w:p>
      <w:pPr>
        <w:spacing w:before="120" w:after="40"/>
      </w:pPr>
      <w:r>
        <w:rPr>
          <w:b/>
          <w:sz w:val="21"/>
          <w:shd w:fill="D6E4F0" w:val="clear"/>
        </w:rPr>
        <w:t>E项错误</w:t>
      </w:r>
    </w:p>
    <w:p>
      <w:pPr>
        <w:spacing w:line="360" w:lineRule="auto" w:after="40"/>
        <w:ind w:firstLine="420"/>
      </w:pPr>
      <w:r>
        <w:t>教材仅提到投资于持续的反金融犯罪培训是最佳实践</w:t>
      </w:r>
      <w:r>
        <w:rPr>
          <w:sz w:val="15"/>
          <w:vertAlign w:val="superscript"/>
        </w:rPr>
        <w:t>P51</w:t>
      </w:r>
      <w:r>
        <w:t>，并未规定培训必须由独立第三方提供。题干条件下，正确项A、B、D均有教材直接支撑，而选项E缺乏同等强度的依据。</w:t>
      </w:r>
    </w:p>
    <w:p>
      <w:pPr>
        <w:spacing w:before="120" w:after="40"/>
      </w:pPr>
      <w:r>
        <w:rPr>
          <w:b/>
          <w:sz w:val="21"/>
          <w:shd w:fill="D6E4F0" w:val="clear"/>
        </w:rPr>
        <w:t>易错提醒</w:t>
      </w:r>
    </w:p>
    <w:p>
      <w:pPr>
        <w:spacing w:line="360" w:lineRule="auto" w:after="40"/>
        <w:ind w:firstLine="420"/>
      </w:pPr>
      <w:r>
        <w:t>认为覆盖越广效果越好的误区：教材要求培训应清晰说明员工的角色与职责</w:t>
      </w:r>
      <w:r>
        <w:rPr>
          <w:sz w:val="15"/>
          <w:vertAlign w:val="superscript"/>
        </w:rPr>
        <w:t>P245</w:t>
      </w:r>
      <w:r>
        <w:t>，意味着培训应针对特定角色设计，泛泛而训并非最佳实践。</w:t>
      </w:r>
    </w:p>
    <w:p>
      <w:pPr>
        <w:spacing w:line="360" w:lineRule="auto" w:after="120"/>
      </w:pPr>
      <w:r/>
    </w:p>
    <w:p>
      <w:pPr>
        <w:spacing w:line="360" w:lineRule="auto" w:after="40"/>
      </w:pPr>
      <w:r>
        <w:t>11. In a standard customer due diligence (CDD) process focused on financial inclusion, the Financial Action Task Force (FATF) Recommendations require: (Choose two.) ( )</w:t>
      </w:r>
    </w:p>
    <w:p>
      <w:pPr>
        <w:spacing w:line="360" w:lineRule="auto" w:after="20"/>
        <w:ind w:firstLine="283"/>
      </w:pPr>
      <w:r>
        <w:t>A. Identification of the customer's occupation.</w:t>
      </w:r>
    </w:p>
    <w:p>
      <w:pPr>
        <w:spacing w:line="360" w:lineRule="auto" w:after="20"/>
        <w:ind w:firstLine="283"/>
      </w:pPr>
      <w:r>
        <w:t>B. Identification and verification of the customer's identity.</w:t>
      </w:r>
    </w:p>
    <w:p>
      <w:pPr>
        <w:spacing w:line="360" w:lineRule="auto" w:after="20"/>
        <w:ind w:firstLine="283"/>
      </w:pPr>
      <w:r>
        <w:t>C. Identification of the customer's work address.</w:t>
      </w:r>
    </w:p>
    <w:p>
      <w:pPr>
        <w:spacing w:line="360" w:lineRule="auto" w:after="20"/>
        <w:ind w:firstLine="283"/>
      </w:pPr>
      <w:r>
        <w:t>D. Identification of the beneficial owner.</w:t>
      </w:r>
    </w:p>
    <w:p>
      <w:pPr>
        <w:spacing w:line="360" w:lineRule="auto" w:after="20"/>
        <w:ind w:firstLine="283"/>
      </w:pPr>
      <w:r>
        <w:t>E. Verification of the customer's credit history.</w:t>
      </w:r>
    </w:p>
    <w:p>
      <w:pPr>
        <w:spacing w:line="360" w:lineRule="auto" w:after="20"/>
        <w:ind w:firstLine="283"/>
      </w:pPr>
      <w:r>
        <w:t>F. Verification of the customer's income sources.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FATF 标准 CDD 的最低要求：身份识别核实与受益所有人识别</w:t>
      </w:r>
    </w:p>
    <w:p>
      <w:pPr>
        <w:spacing w:before="120" w:after="40"/>
      </w:pPr>
      <w:r>
        <w:rPr>
          <w:b/>
          <w:sz w:val="21"/>
          <w:shd w:fill="D6E4F0" w:val="clear"/>
        </w:rPr>
        <w:t>核心解析</w:t>
      </w:r>
    </w:p>
    <w:p>
      <w:pPr>
        <w:spacing w:line="360" w:lineRule="auto" w:after="40"/>
        <w:ind w:firstLine="420"/>
      </w:pPr>
      <w:r>
        <w:t>FATF 建议 10 要求金融机构在建立业务关系时执行 CDD，其核心措施包括识别和核实客户身份</w:t>
      </w:r>
      <w:r>
        <w:rPr>
          <w:sz w:val="15"/>
          <w:vertAlign w:val="superscript"/>
        </w:rPr>
        <w:t>P245</w:t>
      </w:r>
      <w:r>
        <w:t>，以及识别受益所有人并采取合理措施核实其身份</w:t>
      </w:r>
      <w:r>
        <w:rPr>
          <w:sz w:val="15"/>
          <w:vertAlign w:val="superscript"/>
        </w:rPr>
        <w:t>P339</w:t>
      </w:r>
      <w:r>
        <w:t>。题干中“以金融普惠为重点的标准客户尽职调查流程”适用这些基本要求，B 项直接对应客户身份识别与核实这一强制性支柱，D 项则是穿透所有权结构、防止匿名账户的关键步骤，因此 B、D 两项是 FATF 明确要求的核心内容。</w:t>
      </w:r>
    </w:p>
    <w:p>
      <w:pPr>
        <w:spacing w:before="120" w:after="40"/>
      </w:pPr>
      <w:r>
        <w:rPr>
          <w:b/>
          <w:sz w:val="21"/>
          <w:shd w:fill="D6E4F0" w:val="clear"/>
        </w:rPr>
        <w:t>教材原句</w:t>
      </w:r>
    </w:p>
    <w:p>
      <w:pPr>
        <w:spacing w:line="360" w:lineRule="auto" w:after="40"/>
        <w:ind w:firstLine="420"/>
      </w:pPr>
      <w:r>
        <w:t>"The fifth pillar, CDD, requires organizations to identify and verify the identity of customers."</w:t>
      </w:r>
    </w:p>
    <w:p>
      <w:pPr>
        <w:spacing w:before="120" w:after="40"/>
      </w:pPr>
      <w:r>
        <w:rPr>
          <w:b/>
          <w:sz w:val="21"/>
          <w:shd w:fill="D6E4F0" w:val="clear"/>
        </w:rPr>
        <w:t>A项错误</w:t>
      </w:r>
    </w:p>
    <w:p>
      <w:pPr>
        <w:spacing w:line="360" w:lineRule="auto" w:after="40"/>
        <w:ind w:firstLine="420"/>
      </w:pPr>
      <w:r>
        <w:t>教材提到 CDD 需收集就业和收入信息</w:t>
      </w:r>
      <w:r>
        <w:rPr>
          <w:sz w:val="15"/>
          <w:vertAlign w:val="superscript"/>
        </w:rPr>
        <w:t>P309</w:t>
      </w:r>
      <w:r>
        <w:t>，这属于辅助评估客户风险状况的可选信息，并非 FATF 标准 CDD 的强制要素，在普惠金融简化流程中，职业识别不如客户身份核实那样基础。</w:t>
      </w:r>
    </w:p>
    <w:p>
      <w:pPr>
        <w:spacing w:before="120" w:after="40"/>
      </w:pPr>
      <w:r>
        <w:rPr>
          <w:b/>
          <w:sz w:val="21"/>
          <w:shd w:fill="D6E4F0" w:val="clear"/>
        </w:rPr>
        <w:t>C项错误</w:t>
      </w:r>
    </w:p>
    <w:p>
      <w:pPr>
        <w:spacing w:line="360" w:lineRule="auto" w:after="40"/>
        <w:ind w:firstLine="420"/>
      </w:pPr>
      <w:r>
        <w:t>地址信息虽作为客户详情被提及</w:t>
      </w:r>
      <w:r>
        <w:rPr>
          <w:sz w:val="15"/>
          <w:vertAlign w:val="superscript"/>
        </w:rPr>
        <w:t>P475</w:t>
      </w:r>
      <w:r>
        <w:t>，但它通常包含在身份识别信息中，并不构成 FATF 建议中独立于身份核实之外的强制要求，确认办公地址与受益所有人识别相比，更偏离 FATF 对透明度与所有权结构的核心关注。</w:t>
      </w:r>
    </w:p>
    <w:p>
      <w:pPr>
        <w:spacing w:before="120" w:after="40"/>
      </w:pPr>
      <w:r>
        <w:rPr>
          <w:b/>
          <w:sz w:val="21"/>
          <w:shd w:fill="D6E4F0" w:val="clear"/>
        </w:rPr>
        <w:t>E项错误</w:t>
      </w:r>
    </w:p>
    <w:p>
      <w:pPr>
        <w:spacing w:line="360" w:lineRule="auto" w:after="40"/>
        <w:ind w:firstLine="420"/>
      </w:pPr>
      <w:r>
        <w:t>客户信用记录核实主要服务于信贷审批，而非反洗钱 CDD，材料未将其列为 FATF 标准 CDD 内容，在金融普惠背景下，身份和受益所有人的识别显然更直接体现 FATF 的强制要求。</w:t>
      </w:r>
    </w:p>
    <w:p>
      <w:pPr>
        <w:spacing w:line="360" w:lineRule="auto" w:after="40"/>
        <w:ind w:firstLine="420"/>
      </w:pPr>
      <w:r>
        <w:t>F项错误：教材中沃尔夫斯堡集团原则建议调查财富来源</w:t>
      </w:r>
      <w:r>
        <w:rPr>
          <w:sz w:val="15"/>
          <w:vertAlign w:val="superscript"/>
        </w:rPr>
        <w:t>P169</w:t>
      </w:r>
      <w:r>
        <w:t>，但 FATF 标准 CDD 以识别受益所有人为重点，直接核实收入来源并非 FATF 明确列举的强制措施，与 B、D 相比，它与题干要求的匹配度更低。</w:t>
      </w:r>
    </w:p>
    <w:p>
      <w:pPr>
        <w:spacing w:before="120" w:after="40"/>
      </w:pPr>
      <w:r>
        <w:rPr>
          <w:b/>
          <w:sz w:val="21"/>
          <w:shd w:fill="D6E4F0" w:val="clear"/>
        </w:rPr>
        <w:t>易错提醒</w:t>
      </w:r>
    </w:p>
    <w:p>
      <w:pPr>
        <w:spacing w:line="360" w:lineRule="auto" w:after="40"/>
        <w:ind w:firstLine="420"/>
      </w:pPr>
      <w:r>
        <w:t>混淆 FATF 标准 CDD 的法定最低要求与 KYC 实践中的辅助信息：职业、收入、信用记录等有助于风险评估，但不是 FATF 建议直接规定的必备项目，身份识别与受益所有人识别才是必须完成的核心步骤。</w:t>
      </w:r>
    </w:p>
    <w:p>
      <w:pPr>
        <w:spacing w:line="360" w:lineRule="auto" w:after="120"/>
      </w:pPr>
      <w:r/>
    </w:p>
    <w:p>
      <w:pPr>
        <w:spacing w:line="360" w:lineRule="auto" w:after="40"/>
      </w:pPr>
      <w:r>
        <w:t>12. An AML compliance officer for a large bank has recently received an internal audit report on the private banking unit. The report revealed that the unit staff were not following risk-based due diligence procedures, so the unit was not operating effectively. Which immediate actions should the AML compliance officer consider to address these findings? (Select Two.) ( )</w:t>
      </w:r>
    </w:p>
    <w:p>
      <w:pPr>
        <w:spacing w:line="360" w:lineRule="auto" w:after="20"/>
        <w:ind w:firstLine="283"/>
      </w:pPr>
      <w:r>
        <w:t>A. Private bankers should receive training on AML procedures</w:t>
      </w:r>
    </w:p>
    <w:p>
      <w:pPr>
        <w:spacing w:line="360" w:lineRule="auto" w:after="20"/>
        <w:ind w:firstLine="283"/>
      </w:pPr>
      <w:r>
        <w:t>B. Management should implement a quality assurance program in the private banking unit</w:t>
      </w:r>
    </w:p>
    <w:p>
      <w:pPr>
        <w:spacing w:line="360" w:lineRule="auto" w:after="20"/>
        <w:ind w:firstLine="283"/>
      </w:pPr>
      <w:r>
        <w:t>C. The board should review and approve a revised AML policy to change the private banking customer due diligence requirements</w:t>
      </w:r>
    </w:p>
    <w:p>
      <w:pPr>
        <w:spacing w:line="360" w:lineRule="auto" w:after="20"/>
        <w:ind w:firstLine="283"/>
      </w:pPr>
      <w:r>
        <w:t>D. The legal department should conduct a review to assess potential legal consequences</w:t>
      </w:r>
    </w:p>
    <w:p>
      <w:pPr>
        <w:spacing w:line="360" w:lineRule="auto" w:after="20"/>
        <w:ind w:firstLine="283"/>
      </w:pPr>
      <w:r>
        <w:t>E. All employees should receive refresher AML training</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审计发现程序缺陷后，培训与质量保证优先于政策修订</w:t>
      </w:r>
    </w:p>
    <w:p>
      <w:pPr>
        <w:spacing w:before="120" w:after="40"/>
      </w:pPr>
      <w:r>
        <w:rPr>
          <w:b/>
          <w:sz w:val="21"/>
          <w:shd w:fill="D6E4F0" w:val="clear"/>
        </w:rPr>
        <w:t>核心解析</w:t>
      </w:r>
    </w:p>
    <w:p>
      <w:pPr>
        <w:spacing w:line="360" w:lineRule="auto" w:after="40"/>
        <w:ind w:firstLine="420"/>
      </w:pPr>
      <w:r>
        <w:t>有效反洗钱计划的五大支柱中，第三大支柱要求对员工进行定期、持续的反洗钱培训</w:t>
      </w:r>
      <w:r>
        <w:rPr>
          <w:sz w:val="15"/>
          <w:vertAlign w:val="superscript"/>
        </w:rPr>
        <w:t>P245</w:t>
      </w:r>
      <w:r>
        <w:t>，培训应涵盖内部控制并清晰说明员工在反洗钱计划中的角色与职责</w:t>
      </w:r>
      <w:r>
        <w:rPr>
          <w:sz w:val="15"/>
          <w:vertAlign w:val="superscript"/>
        </w:rPr>
        <w:t>P245</w:t>
      </w:r>
      <w:r>
        <w:t>。题干中内审报告直接指出私人银行部门员工未遵循风险为本的尽职调查程序，这意味着该部门员工对其反洗钱职责和程序缺乏足够认知，因此对私人银行家提供针对性培训是最直接、最紧迫的纠正措施。同时，教材在“与内部审计联络”一章中指出，审计后持续沟通有助于制定行动计划，反洗钱合规团队可及时实施改进</w:t>
      </w:r>
      <w:r>
        <w:rPr>
          <w:sz w:val="15"/>
          <w:vertAlign w:val="superscript"/>
        </w:rPr>
        <w:t>P258</w:t>
      </w:r>
      <w:r>
        <w:t>，由此可推断在部门层面实施质量保证计划是对审计发现的系统性回应，能以结构化方式持续监控该部门的整改效果。培训解决“人”的能力缺口，质量保证解决“流程”的运行监控，两者同为紧急性纠正措施，共同构成对审计发现的完整初步应对。相比之下，修订政策需经董事会审查批准，属于长期治理层面而非紧急应对；法务审查以评估法律后果在题干未提及任何法律违规迹象时介入尚早；全员复训的覆盖面超出了题干所限定的问题范围——审计仅发现私人银行部门存在缺陷，针对性培训比全员复训更匹配题干条件。</w:t>
      </w:r>
    </w:p>
    <w:p>
      <w:pPr>
        <w:spacing w:before="120" w:after="40"/>
      </w:pPr>
      <w:r>
        <w:rPr>
          <w:b/>
          <w:sz w:val="21"/>
          <w:shd w:fill="D6E4F0" w:val="clear"/>
        </w:rPr>
        <w:t>教材原句</w:t>
      </w:r>
    </w:p>
    <w:p>
      <w:pPr>
        <w:spacing w:line="360" w:lineRule="auto" w:after="40"/>
        <w:ind w:firstLine="420"/>
      </w:pPr>
      <w:r>
        <w:t>"The third pillar mandates regular, ongoing AML training for employees."</w:t>
      </w:r>
    </w:p>
    <w:p>
      <w:pPr>
        <w:spacing w:before="120" w:after="40"/>
      </w:pPr>
      <w:r>
        <w:rPr>
          <w:b/>
          <w:sz w:val="21"/>
          <w:shd w:fill="D6E4F0" w:val="clear"/>
        </w:rPr>
        <w:t>C项错误</w:t>
      </w:r>
    </w:p>
    <w:p>
      <w:pPr>
        <w:spacing w:line="360" w:lineRule="auto" w:after="40"/>
        <w:ind w:firstLine="420"/>
      </w:pPr>
      <w:r>
        <w:t>董事会审查并批准修订后的反洗钱政策涉及政策层面的制度变更，需经正式治理流程。题干问的是内审报告后的“紧急措施”，政策修订的周期和层级决定了它更偏向长期整改，而不是对当前发现的最紧迫响应。</w:t>
      </w:r>
    </w:p>
    <w:p>
      <w:pPr>
        <w:spacing w:before="120" w:after="40"/>
      </w:pPr>
      <w:r>
        <w:rPr>
          <w:b/>
          <w:sz w:val="21"/>
          <w:shd w:fill="D6E4F0" w:val="clear"/>
        </w:rPr>
        <w:t>D项错误</w:t>
      </w:r>
    </w:p>
    <w:p>
      <w:pPr>
        <w:spacing w:line="360" w:lineRule="auto" w:after="40"/>
        <w:ind w:firstLine="420"/>
      </w:pPr>
      <w:r>
        <w:t>教材提及未仔细遵循流程可能导致法律和监管后果</w:t>
      </w:r>
      <w:r>
        <w:rPr>
          <w:sz w:val="15"/>
          <w:vertAlign w:val="superscript"/>
        </w:rPr>
        <w:t>P344</w:t>
      </w:r>
      <w:r>
        <w:t>，但题干仅描述内审发现程序未被遵循，并未提及已发生法律违规或监管介入的迹象。在没有此类前置条件的情况下，启动法务部门审查不如直接修复程序缺陷来得紧迫。</w:t>
      </w:r>
    </w:p>
    <w:p>
      <w:pPr>
        <w:spacing w:before="120" w:after="40"/>
      </w:pPr>
      <w:r>
        <w:rPr>
          <w:b/>
          <w:sz w:val="21"/>
          <w:shd w:fill="D6E4F0" w:val="clear"/>
        </w:rPr>
        <w:t>E项错误</w:t>
      </w:r>
    </w:p>
    <w:p>
      <w:pPr>
        <w:spacing w:line="360" w:lineRule="auto" w:after="40"/>
        <w:ind w:firstLine="420"/>
      </w:pPr>
      <w:r>
        <w:t>题干明确限定问题出现在“私人银行部门”，内审报告的发现也仅针对该部门的员工。针对性培训（A）直接瞄准问题发生的具体岗位和人员，而全员复训的覆盖范围超出了缺陷范围，在实际紧迫性上不如A直接匹配题干条件。</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