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(EN)</w:t>
      </w:r>
    </w:p>
    <w:p>
      <w:pPr>
        <w:spacing w:line="360" w:lineRule="auto" w:after="160"/>
      </w:pPr>
      <w:r>
        <w:t>一、单项选择题</w:t>
      </w:r>
    </w:p>
    <w:p>
      <w:pPr>
        <w:spacing w:line="360" w:lineRule="auto" w:after="40"/>
      </w:pPr>
      <w:r>
        <w:t>1. At a high level, the risk assessment process involves identifying and rating the inherent risks associated with customers, products, countries, and delivery channels and then: ( )</w:t>
      </w:r>
    </w:p>
    <w:p>
      <w:pPr>
        <w:spacing w:line="360" w:lineRule="auto" w:after="20"/>
        <w:ind w:firstLine="283"/>
      </w:pPr>
      <w:r>
        <w:t>A. Comparing these risks with industry benchmarks to determine the residual risk</w:t>
      </w:r>
    </w:p>
    <w:p>
      <w:pPr>
        <w:spacing w:line="360" w:lineRule="auto" w:after="20"/>
        <w:ind w:firstLine="283"/>
      </w:pPr>
      <w:r>
        <w:t>B. Implementing new controls to eliminate all risks</w:t>
      </w:r>
    </w:p>
    <w:p>
      <w:pPr>
        <w:spacing w:line="360" w:lineRule="auto" w:after="20"/>
        <w:ind w:firstLine="283"/>
      </w:pPr>
      <w:r>
        <w:t>C. Rating the effectiveness of the related controls in order to calculate the residual risk</w:t>
      </w:r>
    </w:p>
    <w:p>
      <w:pPr>
        <w:spacing w:line="360" w:lineRule="auto" w:after="20"/>
        <w:ind w:firstLine="283"/>
      </w:pPr>
      <w:r>
        <w:t>D. Documenting historical risk incidents for future reference</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企业全面风险评估的四步流程顺序</w:t>
      </w:r>
    </w:p>
    <w:p>
      <w:pPr>
        <w:spacing w:before="120" w:after="40"/>
      </w:pPr>
      <w:r>
        <w:rPr>
          <w:b/>
          <w:sz w:val="21"/>
          <w:shd w:fill="D6E4F0" w:val="clear"/>
        </w:rPr>
        <w:t>核心解析</w:t>
      </w:r>
    </w:p>
    <w:p>
      <w:pPr>
        <w:spacing w:line="360" w:lineRule="auto" w:after="40"/>
        <w:ind w:firstLine="420"/>
      </w:pPr>
      <w:r>
        <w:t>企业全面风险评估流程为：确定固有风险、评估控制有效性、计算剩余风险、制定行动计划</w:t>
      </w:r>
      <w:r>
        <w:rPr>
          <w:sz w:val="15"/>
          <w:vertAlign w:val="superscript"/>
        </w:rPr>
        <w:t>P268</w:t>
      </w:r>
      <w:r>
        <w:t>。题干已给出第一步“识别和评估固有风险”（identifying and rating the inherent risks），后续步骤应依次进行。剩余风险的计算公式为“固有风险减去控制有效性”</w:t>
      </w:r>
      <w:r>
        <w:rPr>
          <w:sz w:val="15"/>
          <w:vertAlign w:val="superscript"/>
        </w:rPr>
        <w:t>P278</w:t>
      </w:r>
      <w:r>
        <w:t>，这决定了在已知固有风险后，必须先评估控制措施在降低固有风险方面的有效性</w:t>
      </w:r>
      <w:r>
        <w:rPr>
          <w:sz w:val="15"/>
          <w:vertAlign w:val="superscript"/>
        </w:rPr>
        <w:t>P278</w:t>
      </w:r>
      <w:r>
        <w:t>，才能计算出剩余风险。选项C“评估相关控制措施的有效性，以计算剩余风险”精确对应流程中的第二步“评估控制有效性”及其直接目的，与教材流程顺序完全一致。</w:t>
      </w:r>
    </w:p>
    <w:p>
      <w:pPr>
        <w:spacing w:before="120" w:after="40"/>
      </w:pPr>
      <w:r>
        <w:rPr>
          <w:b/>
          <w:sz w:val="21"/>
          <w:shd w:fill="D6E4F0" w:val="clear"/>
        </w:rPr>
        <w:t>教材原句</w:t>
      </w:r>
    </w:p>
    <w:p>
      <w:pPr>
        <w:spacing w:line="360" w:lineRule="auto" w:after="40"/>
        <w:ind w:firstLine="420"/>
      </w:pPr>
      <w:r>
        <w:t>"The process begins by establishing inherent risks, assessing the effectiveness of controls, computing the residual risk, and obtaining a clear action plan on mitigating the highest risks."</w:t>
      </w:r>
    </w:p>
    <w:p>
      <w:pPr>
        <w:spacing w:before="120" w:after="40"/>
      </w:pPr>
      <w:r>
        <w:rPr>
          <w:b/>
          <w:sz w:val="21"/>
          <w:shd w:fill="D6E4F0" w:val="clear"/>
        </w:rPr>
        <w:t>A项错误</w:t>
      </w:r>
    </w:p>
    <w:p>
      <w:pPr>
        <w:spacing w:line="360" w:lineRule="auto" w:after="40"/>
        <w:ind w:firstLine="420"/>
      </w:pPr>
      <w:r>
        <w:t>教材给出的剩余风险计算公式是“固有风险减去控制有效性”</w:t>
      </w:r>
      <w:r>
        <w:rPr>
          <w:sz w:val="15"/>
          <w:vertAlign w:val="superscript"/>
        </w:rPr>
        <w:t>P278</w:t>
      </w:r>
      <w:r>
        <w:t>，未将行业基准纳入计算过程。题干条件更直接匹配“评估控制有效性→计算剩余风险”这一内部评估路径，而非外部行业比对。</w:t>
      </w:r>
    </w:p>
    <w:p>
      <w:pPr>
        <w:spacing w:before="120" w:after="40"/>
      </w:pPr>
      <w:r>
        <w:rPr>
          <w:b/>
          <w:sz w:val="21"/>
          <w:shd w:fill="D6E4F0" w:val="clear"/>
        </w:rPr>
        <w:t>B项错误</w:t>
      </w:r>
    </w:p>
    <w:p>
      <w:pPr>
        <w:spacing w:line="360" w:lineRule="auto" w:after="40"/>
        <w:ind w:firstLine="420"/>
      </w:pPr>
      <w:r>
        <w:t>教材用语为将风险“降至可接受的剩余风险水平”（mitigate them to an acceptable level of residual risk, P278），而非“消除所有风险”。风险消除在反洗钱语境下不具备现实性，而控制措施的目标是降低而非消灭风险。</w:t>
      </w:r>
    </w:p>
    <w:p>
      <w:pPr>
        <w:spacing w:before="120" w:after="40"/>
      </w:pPr>
      <w:r>
        <w:rPr>
          <w:b/>
          <w:sz w:val="21"/>
          <w:shd w:fill="D6E4F0" w:val="clear"/>
        </w:rPr>
        <w:t>D项错误</w:t>
      </w:r>
    </w:p>
    <w:p>
      <w:pPr>
        <w:spacing w:line="360" w:lineRule="auto" w:after="40"/>
        <w:ind w:firstLine="420"/>
      </w:pPr>
      <w:r>
        <w:t>记录历史风险事件属于警报调查环节的文档留存要求</w:t>
      </w:r>
      <w:r>
        <w:rPr>
          <w:sz w:val="15"/>
          <w:vertAlign w:val="superscript"/>
        </w:rPr>
        <w:t>P338</w:t>
      </w:r>
      <w:r>
        <w:t>，与风险评估流程中的固有风险→控制有效性→剩余风险三步推导无关。题干未涉及触发调查或事件回溯的要素。</w:t>
      </w:r>
    </w:p>
    <w:p>
      <w:pPr>
        <w:spacing w:before="120" w:after="40"/>
      </w:pPr>
      <w:r>
        <w:rPr>
          <w:b/>
          <w:sz w:val="21"/>
          <w:shd w:fill="D6E4F0" w:val="clear"/>
        </w:rPr>
        <w:t>易错提醒</w:t>
      </w:r>
    </w:p>
    <w:p>
      <w:pPr>
        <w:spacing w:line="360" w:lineRule="auto" w:after="40"/>
        <w:ind w:firstLine="420"/>
      </w:pPr>
      <w:r>
        <w:t>“行业基准比较”（选项A）和“控制有效性评估”（选项C）都看似在评估风险，但教材明确界定区别：剩余风险的计算在组织内部完成，公式为“固有风险−控制有效性”，行业基准或同行比较不参与该计算公式。直白说，想算出还剩多少风险，你得先评估自己现有的控制有多管用，而不是去跟别人的分数比。</w:t>
      </w:r>
    </w:p>
    <w:p>
      <w:pPr>
        <w:spacing w:line="360" w:lineRule="auto" w:after="120"/>
      </w:pPr>
      <w:r/>
    </w:p>
    <w:p>
      <w:pPr>
        <w:spacing w:line="360" w:lineRule="auto" w:after="40"/>
      </w:pPr>
      <w:r>
        <w:t>2. A risk-based approach (RBA) means that countries, competent authorities, and financial institutions: ( )</w:t>
      </w:r>
    </w:p>
    <w:p>
      <w:pPr>
        <w:spacing w:line="360" w:lineRule="auto" w:after="20"/>
        <w:ind w:firstLine="283"/>
      </w:pPr>
      <w:r>
        <w:t>A. Are exempt from mitigating AML/CFT risks assessed as low</w:t>
      </w:r>
    </w:p>
    <w:p>
      <w:pPr>
        <w:spacing w:line="360" w:lineRule="auto" w:after="20"/>
        <w:ind w:firstLine="283"/>
      </w:pPr>
      <w:r>
        <w:t>B. Are expected to reduce all residual risks to low</w:t>
      </w:r>
    </w:p>
    <w:p>
      <w:pPr>
        <w:spacing w:line="360" w:lineRule="auto" w:after="20"/>
        <w:ind w:firstLine="283"/>
      </w:pPr>
      <w:r>
        <w:t>C. Are expected to identify, assess, and understand the AML/CFT risks to which they are exposed</w:t>
      </w:r>
    </w:p>
    <w:p>
      <w:pPr>
        <w:spacing w:line="360" w:lineRule="auto" w:after="20"/>
        <w:ind w:firstLine="283"/>
      </w:pPr>
      <w:r>
        <w:t>D. Will allocate compliance resources to non-compliance-related tasks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掌握风险为本方法（RBA）的核心定义：识别、评估、理解风险</w:t>
      </w:r>
    </w:p>
    <w:p>
      <w:pPr>
        <w:spacing w:before="120" w:after="40"/>
      </w:pPr>
      <w:r>
        <w:rPr>
          <w:b/>
          <w:sz w:val="21"/>
          <w:shd w:fill="D6E4F0" w:val="clear"/>
        </w:rPr>
        <w:t>核心解析</w:t>
      </w:r>
    </w:p>
    <w:p>
      <w:pPr>
        <w:spacing w:line="360" w:lineRule="auto" w:after="40"/>
        <w:ind w:firstLine="420"/>
      </w:pPr>
      <w:r>
        <w:t>风险为本方法指识别、评估并理解组织面临的洗钱/恐怖融资风险，并采取适当措施有效缓解这些风险的过程</w:t>
      </w:r>
      <w:r>
        <w:rPr>
          <w:sz w:val="15"/>
          <w:vertAlign w:val="superscript"/>
        </w:rPr>
        <w:t>P270</w:t>
      </w:r>
      <w:r>
        <w:t>。FATF建议1也明确要求各国应识别、评估并了解其洗钱与恐怖融资风险</w:t>
      </w:r>
      <w:r>
        <w:rPr>
          <w:sz w:val="15"/>
          <w:vertAlign w:val="superscript"/>
        </w:rPr>
        <w:t>P267</w:t>
      </w:r>
      <w:r>
        <w:t>。本题问RBA对各国、主管当局和金融机构意味着什么，选项C“识别、评估并理解其面临的洗钱与恐怖融资风险”直接完整地复现了这条定义的核心三步，因而构成这一概念最直接准确的表述。A虽涉及低风险处理但教材明确RBA并非忽略其他风险</w:t>
      </w:r>
      <w:r>
        <w:rPr>
          <w:sz w:val="15"/>
          <w:vertAlign w:val="superscript"/>
        </w:rPr>
        <w:t>P276</w:t>
      </w:r>
      <w:r>
        <w:t>，B对剩余风险目标的表述偏离教材“可接受水平”而非一概要求降至较低</w:t>
      </w:r>
      <w:r>
        <w:rPr>
          <w:sz w:val="15"/>
          <w:vertAlign w:val="superscript"/>
        </w:rPr>
        <w:t>P278</w:t>
      </w:r>
      <w:r>
        <w:t>，D则完全脱离合规范畴——RBA恰恰强调将合规资源集中于影响最大的领域</w:t>
      </w:r>
      <w:r>
        <w:rPr>
          <w:sz w:val="15"/>
          <w:vertAlign w:val="superscript"/>
        </w:rPr>
        <w:t>P271、P455</w:t>
      </w:r>
      <w:r>
        <w:t>，而非分配给无关任务。</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A项错误</w:t>
      </w:r>
    </w:p>
    <w:p>
      <w:pPr>
        <w:spacing w:line="360" w:lineRule="auto" w:after="40"/>
        <w:ind w:firstLine="420"/>
      </w:pPr>
      <w:r>
        <w:t>教材指出“基于风险的方法并非忽略其他风险，而是对最高风险投入更多资源”</w:t>
      </w:r>
      <w:r>
        <w:rPr>
          <w:sz w:val="15"/>
          <w:vertAlign w:val="superscript"/>
        </w:rPr>
        <w:t>P276</w:t>
      </w:r>
      <w:r>
        <w:t>。因此即便风险被评估为低，仍须采取措施，只是资源倾斜程度不同，并非“免除”缓解义务。</w:t>
      </w:r>
    </w:p>
    <w:p>
      <w:pPr>
        <w:spacing w:before="120" w:after="40"/>
      </w:pPr>
      <w:r>
        <w:rPr>
          <w:b/>
          <w:sz w:val="21"/>
          <w:shd w:fill="D6E4F0" w:val="clear"/>
        </w:rPr>
        <w:t>B项错误</w:t>
      </w:r>
    </w:p>
    <w:p>
      <w:pPr>
        <w:spacing w:line="360" w:lineRule="auto" w:after="40"/>
        <w:ind w:firstLine="420"/>
      </w:pPr>
      <w:r>
        <w:t>教材要求识别固有风险后须应用控制措施将其降至“可接受的剩余风险水平”（acceptable level of residual risk）</w:t>
      </w:r>
      <w:r>
        <w:rPr>
          <w:sz w:val="15"/>
          <w:vertAlign w:val="superscript"/>
        </w:rPr>
        <w:t>P278</w:t>
      </w:r>
      <w:r>
        <w:t>，该水平取决于机构自身的风险偏好，不一定等同于“较低水平”；题干“应将所有剩余风险降低至较低水平”比“降至可接受水平”更绝对，匹配度不如C。</w:t>
      </w:r>
    </w:p>
    <w:p>
      <w:pPr>
        <w:spacing w:before="120" w:after="40"/>
      </w:pPr>
      <w:r>
        <w:rPr>
          <w:b/>
          <w:sz w:val="21"/>
          <w:shd w:fill="D6E4F0" w:val="clear"/>
        </w:rPr>
        <w:t>D项错误</w:t>
      </w:r>
    </w:p>
    <w:p>
      <w:pPr>
        <w:spacing w:line="360" w:lineRule="auto" w:after="40"/>
        <w:ind w:firstLine="420"/>
      </w:pPr>
      <w:r>
        <w:t>教材强调RBA是“将精力集中于最需要和影响最大的领域”</w:t>
      </w:r>
      <w:r>
        <w:rPr>
          <w:sz w:val="15"/>
          <w:vertAlign w:val="superscript"/>
        </w:rPr>
        <w:t>P271</w:t>
      </w:r>
      <w:r>
        <w:t>，合规专业人员需评估优先级并“分配资源”以达成有效性与效率目标</w:t>
      </w:r>
      <w:r>
        <w:rPr>
          <w:sz w:val="15"/>
          <w:vertAlign w:val="superscript"/>
        </w:rPr>
        <w:t>P391</w:t>
      </w:r>
      <w:r>
        <w:t>。资源分配始终围绕合规任务进行优先级排序，而非分配给与合规无关的任务，因此该表述越出了RBA的内涵。</w:t>
      </w:r>
    </w:p>
    <w:p>
      <w:pPr>
        <w:spacing w:line="360" w:lineRule="auto" w:after="120"/>
      </w:pPr>
      <w:r/>
    </w:p>
    <w:p>
      <w:pPr>
        <w:spacing w:line="360" w:lineRule="auto" w:after="40"/>
      </w:pPr>
      <w:r>
        <w:t>3. A National Risk Assessment (NRA) can impact a financial institution's (FI's) risk-based approach to anti-money laundering and terrorist financing by: ( )</w:t>
      </w:r>
    </w:p>
    <w:p>
      <w:pPr>
        <w:spacing w:line="360" w:lineRule="auto" w:after="20"/>
        <w:ind w:firstLine="283"/>
      </w:pPr>
      <w:r>
        <w:t>A. Dictating what predicate offences must be considered in the FI's risk assessment</w:t>
      </w:r>
    </w:p>
    <w:p>
      <w:pPr>
        <w:spacing w:line="360" w:lineRule="auto" w:after="20"/>
        <w:ind w:firstLine="283"/>
      </w:pPr>
      <w:r>
        <w:t>B. Providing guidance on the types of customers and transactions that pose the highest risk</w:t>
      </w:r>
    </w:p>
    <w:p>
      <w:pPr>
        <w:spacing w:line="360" w:lineRule="auto" w:after="20"/>
        <w:ind w:firstLine="283"/>
      </w:pPr>
      <w:r>
        <w:t>C. Defining exactly what policies and procedures must be implemented</w:t>
      </w:r>
    </w:p>
    <w:p>
      <w:pPr>
        <w:spacing w:line="360" w:lineRule="auto" w:after="20"/>
        <w:ind w:firstLine="283"/>
      </w:pPr>
      <w:r>
        <w:t>D. Determining the maximum fines that can be imposed for AML violations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理解国家风险评估对高风险客户与交易类型的识别指导功能</w:t>
      </w:r>
    </w:p>
    <w:p>
      <w:pPr>
        <w:spacing w:before="120" w:after="40"/>
      </w:pPr>
      <w:r>
        <w:rPr>
          <w:b/>
          <w:sz w:val="21"/>
          <w:shd w:fill="D6E4F0" w:val="clear"/>
        </w:rPr>
        <w:t>核心解析</w:t>
      </w:r>
    </w:p>
    <w:p>
      <w:pPr>
        <w:spacing w:line="360" w:lineRule="auto" w:after="40"/>
        <w:ind w:firstLine="420"/>
      </w:pPr>
      <w:r>
        <w:t>国家风险评估（NRA）是司法管辖区识别和评估洗钱威胁与脆弱性、确定风险水平并制定应对策略的文件</w:t>
      </w:r>
      <w:r>
        <w:rPr>
          <w:sz w:val="15"/>
          <w:vertAlign w:val="superscript"/>
        </w:rPr>
        <w:t>P225</w:t>
      </w:r>
      <w:r>
        <w:t>。NRAs识别国家层面的洗钱与恐怖融资威胁和风险，并审查高风险行业和领域</w:t>
      </w:r>
      <w:r>
        <w:rPr>
          <w:sz w:val="15"/>
          <w:vertAlign w:val="superscript"/>
        </w:rPr>
        <w:t>P268</w:t>
      </w:r>
      <w:r>
        <w:t>。公开的风险评估和行动计划为组织提供政府对其行业及其他行业风险水平的信息</w:t>
      </w:r>
      <w:r>
        <w:rPr>
          <w:sz w:val="15"/>
          <w:vertAlign w:val="superscript"/>
        </w:rPr>
        <w:t>P226</w:t>
      </w:r>
      <w:r>
        <w:t>。因此，金融机构基于风险的方法可借助NRA获取关于哪些客户类型和交易类型风险最高的指导，进而调整其控制措施，这直接吻合选项B。</w:t>
      </w:r>
    </w:p>
    <w:p>
      <w:pPr>
        <w:spacing w:before="120" w:after="40"/>
      </w:pPr>
      <w:r>
        <w:rPr>
          <w:b/>
          <w:sz w:val="21"/>
          <w:shd w:fill="D6E4F0" w:val="clear"/>
        </w:rPr>
        <w:t>教材原句</w:t>
      </w:r>
    </w:p>
    <w:p>
      <w:pPr>
        <w:spacing w:line="360" w:lineRule="auto" w:after="40"/>
        <w:ind w:firstLine="420"/>
      </w:pPr>
      <w:r>
        <w:t>"NRAs identify national-level money laundering and terror financing threats and risks. These assessments review sectors and areas with higher risks."</w:t>
      </w:r>
    </w:p>
    <w:p>
      <w:pPr>
        <w:spacing w:before="120" w:after="40"/>
      </w:pPr>
      <w:r>
        <w:rPr>
          <w:b/>
          <w:sz w:val="21"/>
          <w:shd w:fill="D6E4F0" w:val="clear"/>
        </w:rPr>
        <w:t>A项错误</w:t>
      </w:r>
    </w:p>
    <w:p>
      <w:pPr>
        <w:spacing w:line="360" w:lineRule="auto" w:after="40"/>
        <w:ind w:firstLine="420"/>
      </w:pPr>
      <w:r>
        <w:t>FATF虽确定了21类上游犯罪作为反洗钱监控基础</w:t>
      </w:r>
      <w:r>
        <w:rPr>
          <w:sz w:val="15"/>
          <w:vertAlign w:val="superscript"/>
        </w:rPr>
        <w:t>P21</w:t>
      </w:r>
      <w:r>
        <w:t>，但这属于监管框架，而非NRA的核心功能。NRA侧重于识别威胁与风险程度，不强制列举具体犯罪清单，题干条件更匹配B项的风险指导角色。</w:t>
      </w:r>
    </w:p>
    <w:p>
      <w:pPr>
        <w:spacing w:before="120" w:after="40"/>
      </w:pPr>
      <w:r>
        <w:rPr>
          <w:b/>
          <w:sz w:val="21"/>
          <w:shd w:fill="D6E4F0" w:val="clear"/>
        </w:rPr>
        <w:t>C项错误</w:t>
      </w:r>
    </w:p>
    <w:p>
      <w:pPr>
        <w:spacing w:line="360" w:lineRule="auto" w:after="40"/>
        <w:ind w:firstLine="420"/>
      </w:pPr>
      <w:r>
        <w:t>风险为本方法要求政策根据机构自身的风险暴露、客户概况等因素量身定制</w:t>
      </w:r>
      <w:r>
        <w:rPr>
          <w:sz w:val="15"/>
          <w:vertAlign w:val="superscript"/>
        </w:rPr>
        <w:t>P292</w:t>
      </w:r>
      <w:r>
        <w:t>，NRA不提供具体操作细则。相比B项的直接匹配，C期望的规定层级超出了NRA的信息提供范围。</w:t>
      </w:r>
    </w:p>
    <w:p>
      <w:pPr>
        <w:spacing w:before="120" w:after="40"/>
      </w:pPr>
      <w:r>
        <w:rPr>
          <w:b/>
          <w:sz w:val="21"/>
          <w:shd w:fill="D6E4F0" w:val="clear"/>
        </w:rPr>
        <w:t>D项错误</w:t>
      </w:r>
    </w:p>
    <w:p>
      <w:pPr>
        <w:spacing w:line="360" w:lineRule="auto" w:after="40"/>
        <w:ind w:firstLine="420"/>
      </w:pPr>
      <w:r>
        <w:t>教材中罚款金额由立法或监管处罚决定，NRA并不涉及违规处罚的设定，题干也未提及相关要素。B项更直接对应NRA提供风险信息的职能。</w:t>
      </w:r>
    </w:p>
    <w:p>
      <w:pPr>
        <w:spacing w:before="120" w:after="40"/>
      </w:pPr>
      <w:r>
        <w:rPr>
          <w:b/>
          <w:sz w:val="21"/>
          <w:shd w:fill="D6E4F0" w:val="clear"/>
        </w:rPr>
        <w:t>易错提醒</w:t>
      </w:r>
    </w:p>
    <w:p>
      <w:pPr>
        <w:spacing w:line="360" w:lineRule="auto" w:after="40"/>
        <w:ind w:firstLine="420"/>
      </w:pPr>
      <w:r>
        <w:t>易混淆的是NRA与上游犯罪清单的关系。NRAs的任务是识别威胁和脆弱性并提供风险信息，而非规定必须监控的犯罪行为列表；后者由FATF建议和国家法律界定</w:t>
      </w:r>
      <w:r>
        <w:rPr>
          <w:sz w:val="15"/>
          <w:vertAlign w:val="superscript"/>
        </w:rPr>
        <w:t>P21</w:t>
      </w:r>
      <w:r>
        <w:t>。判断标准：NRA输出风险图景，不强制列举上游犯罪。</w:t>
      </w:r>
    </w:p>
    <w:p>
      <w:pPr>
        <w:spacing w:line="360" w:lineRule="auto" w:after="120"/>
      </w:pPr>
      <w:r/>
    </w:p>
    <w:p>
      <w:pPr>
        <w:spacing w:line="360" w:lineRule="auto" w:after="40"/>
      </w:pPr>
      <w:r>
        <w:t>4. Which situation involving a vendor presents increased AML and/or sanctions risk to an organization? ( )</w:t>
      </w:r>
    </w:p>
    <w:p>
      <w:pPr>
        <w:spacing w:line="360" w:lineRule="auto" w:after="20"/>
        <w:ind w:firstLine="283"/>
      </w:pPr>
      <w:r>
        <w:t>A. The vendor provides services to end users located in an area subject to economic sanctions</w:t>
      </w:r>
    </w:p>
    <w:p>
      <w:pPr>
        <w:spacing w:line="360" w:lineRule="auto" w:after="20"/>
        <w:ind w:firstLine="283"/>
      </w:pPr>
      <w:r>
        <w:t>B. The vendor's sales representative was a refugee from a sanctioned jurisdiction as a child</w:t>
      </w:r>
    </w:p>
    <w:p>
      <w:pPr>
        <w:spacing w:line="360" w:lineRule="auto" w:after="20"/>
        <w:ind w:firstLine="283"/>
      </w:pPr>
      <w:r>
        <w:t>C. The vendor is organized as a privately held company</w:t>
      </w:r>
    </w:p>
    <w:p>
      <w:pPr>
        <w:spacing w:line="360" w:lineRule="auto" w:after="20"/>
        <w:ind w:firstLine="283"/>
      </w:pPr>
      <w:r>
        <w:t>D. The vendor has no individuals that own or control more than 10% of the company</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识别与受制裁地区业务往来产生的制裁风险</w:t>
      </w:r>
    </w:p>
    <w:p>
      <w:pPr>
        <w:spacing w:before="120" w:after="40"/>
      </w:pPr>
      <w:r>
        <w:rPr>
          <w:b/>
          <w:sz w:val="21"/>
          <w:shd w:fill="D6E4F0" w:val="clear"/>
        </w:rPr>
        <w:t>核心解析</w:t>
      </w:r>
    </w:p>
    <w:p>
      <w:pPr>
        <w:spacing w:line="360" w:lineRule="auto" w:after="40"/>
        <w:ind w:firstLine="420"/>
      </w:pPr>
      <w:r>
        <w:t>制裁风险在与受制裁或禁运的地区/国家进行跨境交易时产生</w:t>
      </w:r>
      <w:r>
        <w:rPr>
          <w:sz w:val="15"/>
          <w:vertAlign w:val="superscript"/>
        </w:rPr>
        <w:t>P138</w:t>
      </w:r>
      <w:r>
        <w:t>；在受制裁国家经营的客户也面临更高的司法管辖区风险</w:t>
      </w:r>
      <w:r>
        <w:rPr>
          <w:sz w:val="15"/>
          <w:vertAlign w:val="superscript"/>
        </w:rPr>
        <w:t>P73</w:t>
      </w:r>
      <w:r>
        <w:t>。基于风险偏好，组织往往避免在制裁风险高的司法管辖区提供服务</w:t>
      </w:r>
      <w:r>
        <w:rPr>
          <w:sz w:val="15"/>
          <w:vertAlign w:val="superscript"/>
        </w:rPr>
        <w:t>P270</w:t>
      </w:r>
      <w:r>
        <w:t>。题干中，供应商向位于受经济制裁地区的终端用户提供服务，即直接触及与受制裁地区的业务关系，由此给组织带来更高的反洗钱/制裁风险。</w:t>
      </w:r>
    </w:p>
    <w:p>
      <w:pPr>
        <w:spacing w:before="120" w:after="40"/>
      </w:pPr>
      <w:r>
        <w:rPr>
          <w:b/>
          <w:sz w:val="21"/>
          <w:shd w:fill="D6E4F0" w:val="clear"/>
        </w:rPr>
        <w:t>教材原句</w:t>
      </w:r>
    </w:p>
    <w:p>
      <w:pPr>
        <w:spacing w:line="360" w:lineRule="auto" w:after="40"/>
        <w:ind w:firstLine="420"/>
      </w:pPr>
      <w:r>
        <w:t>"For example, a payment processor may decide it is not in a position to offer its service in jurisdictions with elevated risk of sanctions."</w:t>
      </w:r>
    </w:p>
    <w:p>
      <w:pPr>
        <w:spacing w:before="120" w:after="40"/>
      </w:pPr>
      <w:r>
        <w:rPr>
          <w:b/>
          <w:sz w:val="21"/>
          <w:shd w:fill="D6E4F0" w:val="clear"/>
        </w:rPr>
        <w:t>B项错误</w:t>
      </w:r>
    </w:p>
    <w:p>
      <w:pPr>
        <w:spacing w:line="360" w:lineRule="auto" w:after="40"/>
        <w:ind w:firstLine="420"/>
      </w:pPr>
      <w:r>
        <w:t>教材强调制裁风险来自当前在受制裁司法管辖区的经营或交易活动</w:t>
      </w:r>
      <w:r>
        <w:rPr>
          <w:sz w:val="15"/>
          <w:vertAlign w:val="superscript"/>
        </w:rPr>
        <w:t>P73、P138</w:t>
      </w:r>
      <w:r>
        <w:t>，而非员工个人历史。题干更直接匹配A项所述的业务关系，而非B项中销售代表儿时的难民身份。</w:t>
      </w:r>
    </w:p>
    <w:p>
      <w:pPr>
        <w:spacing w:before="120" w:after="40"/>
      </w:pPr>
      <w:r>
        <w:rPr>
          <w:b/>
          <w:sz w:val="21"/>
          <w:shd w:fill="D6E4F0" w:val="clear"/>
        </w:rPr>
        <w:t>C项错误</w:t>
      </w:r>
    </w:p>
    <w:p>
      <w:pPr>
        <w:spacing w:line="360" w:lineRule="auto" w:after="40"/>
        <w:ind w:firstLine="420"/>
      </w:pPr>
      <w:r>
        <w:t>教材讨论高风险因素时提及复杂所有权结构、信托等</w:t>
      </w:r>
      <w:r>
        <w:rPr>
          <w:sz w:val="15"/>
          <w:vertAlign w:val="superscript"/>
        </w:rPr>
        <w:t>P74</w:t>
      </w:r>
      <w:r>
        <w:t>，并未将私营公司形式本身作为风险升高的原因。相比A项明确涉及的制裁辖区业务，C项与制裁风险的关联明显更弱。</w:t>
      </w:r>
    </w:p>
    <w:p>
      <w:pPr>
        <w:spacing w:before="120" w:after="40"/>
      </w:pPr>
      <w:r>
        <w:rPr>
          <w:b/>
          <w:sz w:val="21"/>
          <w:shd w:fill="D6E4F0" w:val="clear"/>
        </w:rPr>
        <w:t>D项错误</w:t>
      </w:r>
    </w:p>
    <w:p>
      <w:pPr>
        <w:spacing w:line="360" w:lineRule="auto" w:after="40"/>
        <w:ind w:firstLine="420"/>
      </w:pPr>
      <w:r>
        <w:t>教材指出受益所有权阈值通常为25%，高风险客户可低至10%</w:t>
      </w:r>
      <w:r>
        <w:rPr>
          <w:sz w:val="15"/>
          <w:vertAlign w:val="superscript"/>
        </w:rPr>
        <w:t>P59</w:t>
      </w:r>
      <w:r>
        <w:t>。并无个人持股超过10%，未必代表风险升高或降低，更未直接指向制裁风险，与A项相比匹配度不足。</w:t>
      </w:r>
    </w:p>
    <w:p>
      <w:pPr>
        <w:spacing w:before="120" w:after="40"/>
      </w:pPr>
      <w:r>
        <w:rPr>
          <w:b/>
          <w:sz w:val="21"/>
          <w:shd w:fill="D6E4F0" w:val="clear"/>
        </w:rPr>
        <w:t>易错提醒</w:t>
      </w:r>
    </w:p>
    <w:p>
      <w:pPr>
        <w:spacing w:line="360" w:lineRule="auto" w:after="40"/>
        <w:ind w:firstLine="420"/>
      </w:pPr>
      <w:r>
        <w:t>制裁风险取决于供应商当前业务所涉的司法管辖区，而非其销售代表的个人历史。教材明确，在受制裁国家经营的客户面临更高管辖风险</w:t>
      </w:r>
      <w:r>
        <w:rPr>
          <w:sz w:val="15"/>
          <w:vertAlign w:val="superscript"/>
        </w:rPr>
        <w:t>P73</w:t>
      </w:r>
      <w:r>
        <w:t>，儿时难民身份不构成现行经营或交易关系，不应与制裁风险混同。</w:t>
      </w:r>
    </w:p>
    <w:p>
      <w:pPr>
        <w:spacing w:line="360" w:lineRule="auto" w:after="120"/>
      </w:pPr>
      <w:r/>
    </w:p>
    <w:p>
      <w:pPr>
        <w:spacing w:line="360" w:lineRule="auto" w:after="40"/>
      </w:pPr>
      <w:r>
        <w:t>5. What is the primary purpose of a risk appetite statement (RAS) in an organization, and how should it be effectively communicated and implemented? ( )</w:t>
      </w:r>
    </w:p>
    <w:p>
      <w:pPr>
        <w:spacing w:line="360" w:lineRule="auto" w:after="20"/>
        <w:ind w:firstLine="283"/>
      </w:pPr>
      <w:r>
        <w:t>A. An RAS defines the amount and type of risk an organization is willing to take to achieve its objectives and should be communicated clearly to all stakeholders, with corresponding controls implemented</w:t>
      </w:r>
    </w:p>
    <w:p>
      <w:pPr>
        <w:spacing w:line="360" w:lineRule="auto" w:after="20"/>
        <w:ind w:firstLine="283"/>
      </w:pPr>
      <w:r>
        <w:t>B. An RAS is a detailed plan for managing operational risks and does not cover strategic or financial risks</w:t>
      </w:r>
    </w:p>
    <w:p>
      <w:pPr>
        <w:spacing w:line="360" w:lineRule="auto" w:after="20"/>
        <w:ind w:firstLine="283"/>
      </w:pPr>
      <w:r>
        <w:t>C. An RAS is a formal document meant for regulatory compliance that does not influence day-to-day risk management practices within the organization</w:t>
      </w:r>
    </w:p>
    <w:p>
      <w:pPr>
        <w:spacing w:line="360" w:lineRule="auto" w:after="20"/>
        <w:ind w:firstLine="283"/>
      </w:pPr>
      <w:r>
        <w:t>D. A risk appetite statement is used to explain risk tolerance limits to external stakeholders and does not need to be communicated within the organization</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风险偏好声明的核心定义及其传达与落实要求</w:t>
      </w:r>
    </w:p>
    <w:p>
      <w:pPr>
        <w:spacing w:before="120" w:after="40"/>
      </w:pPr>
      <w:r>
        <w:rPr>
          <w:b/>
          <w:sz w:val="21"/>
          <w:shd w:fill="D6E4F0" w:val="clear"/>
        </w:rPr>
        <w:t>核心解析</w:t>
      </w:r>
    </w:p>
    <w:p>
      <w:pPr>
        <w:spacing w:line="360" w:lineRule="auto" w:after="40"/>
        <w:ind w:firstLine="420"/>
      </w:pPr>
      <w:r>
        <w:t>风险偏好声明（RAS）是由高级管理层制定、董事会批准的形式文件，明确组织为实现战略目标所愿接受的风险类型与水平</w:t>
      </w:r>
      <w:r>
        <w:rPr>
          <w:sz w:val="15"/>
          <w:vertAlign w:val="superscript"/>
        </w:rPr>
        <w:t>P272</w:t>
      </w:r>
      <w:r>
        <w:t>。该声明的目的是定义愿意承担的风险量和风险类型</w:t>
      </w:r>
      <w:r>
        <w:rPr>
          <w:sz w:val="15"/>
          <w:vertAlign w:val="superscript"/>
        </w:rPr>
        <w:t>P243</w:t>
      </w:r>
      <w:r>
        <w:t>，并应易于所有利益相关者理解</w:t>
      </w:r>
      <w:r>
        <w:rPr>
          <w:sz w:val="15"/>
          <w:vertAlign w:val="superscript"/>
        </w:rPr>
        <w:t>P271</w:t>
      </w:r>
      <w:r>
        <w:t>。在落实层面，RAS被编入政策与程序，指导行为、决策和风险管理实践，并须实施相应的控制措施（P270, P243）。选项A将定义风险量与风险类型、向所有利益相关者清晰传达、实施控制这三个层次全部囊括，直接对应教材对RAS从制定到落地的完整描述，因此最贴合题干所问的“主要目的”与“传达和落实”方式。</w:t>
      </w:r>
    </w:p>
    <w:p>
      <w:pPr>
        <w:spacing w:before="120" w:after="40"/>
      </w:pPr>
      <w:r>
        <w:rPr>
          <w:b/>
          <w:sz w:val="21"/>
          <w:shd w:fill="D6E4F0" w:val="clear"/>
        </w:rPr>
        <w:t>教材原句</w:t>
      </w:r>
    </w:p>
    <w:p>
      <w:pPr>
        <w:spacing w:line="360" w:lineRule="auto" w:after="40"/>
        <w:ind w:firstLine="420"/>
      </w:pPr>
      <w:r>
        <w:t>"defines what types of risks the organization is willing to accept, mitigate, or avoid based on its strategic targets, regulatory environment, and expectations."</w:t>
      </w:r>
    </w:p>
    <w:p>
      <w:pPr>
        <w:spacing w:before="120" w:after="40"/>
      </w:pPr>
      <w:r>
        <w:rPr>
          <w:b/>
          <w:sz w:val="21"/>
          <w:shd w:fill="D6E4F0" w:val="clear"/>
        </w:rPr>
        <w:t>B项错误</w:t>
      </w:r>
    </w:p>
    <w:p>
      <w:pPr>
        <w:spacing w:line="360" w:lineRule="auto" w:after="40"/>
        <w:ind w:firstLine="420"/>
      </w:pPr>
      <w:r>
        <w:t>教材定义的RAS是覆盖多种风险类型的整体偏好声明，支持战略目标</w:t>
      </w:r>
      <w:r>
        <w:rPr>
          <w:sz w:val="15"/>
          <w:vertAlign w:val="superscript"/>
        </w:rPr>
        <w:t>P272</w:t>
      </w:r>
      <w:r>
        <w:t>，并非“运营风险的详细计划”。B项将RAS扭曲为仅限运营风险且不涉及战略或财务风险的计划，对范围的理解远不如A项吻合教材全貌。</w:t>
      </w:r>
    </w:p>
    <w:p>
      <w:pPr>
        <w:spacing w:before="120" w:after="40"/>
      </w:pPr>
      <w:r>
        <w:rPr>
          <w:b/>
          <w:sz w:val="21"/>
          <w:shd w:fill="D6E4F0" w:val="clear"/>
        </w:rPr>
        <w:t>C项错误</w:t>
      </w:r>
    </w:p>
    <w:p>
      <w:pPr>
        <w:spacing w:line="360" w:lineRule="auto" w:after="40"/>
        <w:ind w:firstLine="420"/>
      </w:pPr>
      <w:r>
        <w:t>教材明言RAS“指导行为、决策和风险管理实践”</w:t>
      </w:r>
      <w:r>
        <w:rPr>
          <w:sz w:val="15"/>
          <w:vertAlign w:val="superscript"/>
        </w:rPr>
        <w:t>P243</w:t>
      </w:r>
      <w:r>
        <w:t>，并被编入政策程序融入日常运作</w:t>
      </w:r>
      <w:r>
        <w:rPr>
          <w:sz w:val="15"/>
          <w:vertAlign w:val="superscript"/>
        </w:rPr>
        <w:t>P270</w:t>
      </w:r>
      <w:r>
        <w:t>。C项声称RAS“不会影响组织内部的日常风险管理实践”，与教材对RAS落地功能的界定矛盾，相比A项缺失了实操层面。</w:t>
      </w:r>
    </w:p>
    <w:p>
      <w:pPr>
        <w:spacing w:before="120" w:after="40"/>
      </w:pPr>
      <w:r>
        <w:rPr>
          <w:b/>
          <w:sz w:val="21"/>
          <w:shd w:fill="D6E4F0" w:val="clear"/>
        </w:rPr>
        <w:t>D项错误</w:t>
      </w:r>
    </w:p>
    <w:p>
      <w:pPr>
        <w:spacing w:line="360" w:lineRule="auto" w:after="40"/>
        <w:ind w:firstLine="420"/>
      </w:pPr>
      <w:r>
        <w:t>RAS应易于“所有利益相关者”理解</w:t>
      </w:r>
      <w:r>
        <w:rPr>
          <w:sz w:val="15"/>
          <w:vertAlign w:val="superscript"/>
        </w:rPr>
        <w:t>P271</w:t>
      </w:r>
      <w:r>
        <w:t>，且内部传达是驱动业务单元落实风险限额的前提</w:t>
      </w:r>
      <w:r>
        <w:rPr>
          <w:sz w:val="15"/>
          <w:vertAlign w:val="superscript"/>
        </w:rPr>
        <w:t>P272</w:t>
      </w:r>
      <w:r>
        <w:t>。D项把传达范围窄化为仅外部，忽略了教材强调的内部贯彻，不如A项全面反映了RAS的内外沟通要求。</w:t>
      </w:r>
    </w:p>
    <w:p>
      <w:pPr>
        <w:spacing w:before="120" w:after="40"/>
      </w:pPr>
      <w:r>
        <w:rPr>
          <w:b/>
          <w:sz w:val="21"/>
          <w:shd w:fill="D6E4F0" w:val="clear"/>
        </w:rPr>
        <w:t>易错提醒</w:t>
      </w:r>
    </w:p>
    <w:p>
      <w:pPr>
        <w:spacing w:line="360" w:lineRule="auto" w:after="40"/>
        <w:ind w:firstLine="420"/>
      </w:pPr>
      <w:r>
        <w:t>风险偏好声明（RAS）常与风险容忍度（Risk Tolerance）混淆。风险容忍度是在整体风险偏好内，为特定风险类别设定的定量和定性界限</w:t>
      </w:r>
      <w:r>
        <w:rPr>
          <w:sz w:val="15"/>
          <w:vertAlign w:val="superscript"/>
        </w:rPr>
        <w:t>P244</w:t>
      </w:r>
      <w:r>
        <w:t>，而RAS是组织愿意承受的风险水平与类型的总体声明，二者层级不同。D项使用“风险容忍限度”一词，易使学生误以为RAS直接等同于设定具体容忍值。</w:t>
      </w:r>
    </w:p>
    <w:p>
      <w:pPr>
        <w:spacing w:line="360" w:lineRule="auto" w:after="120"/>
      </w:pPr>
      <w:r/>
    </w:p>
    <w:p>
      <w:pPr>
        <w:spacing w:line="360" w:lineRule="auto" w:after="40"/>
      </w:pPr>
      <w:r>
        <w:t>6. In which of the following situations would it be most crucial for the designated AML compliance officer of a company to perform a complete review of the company's AML program, including identifying the risks and commensurate controls? ( )</w:t>
      </w:r>
    </w:p>
    <w:p>
      <w:pPr>
        <w:spacing w:line="360" w:lineRule="auto" w:after="20"/>
        <w:ind w:firstLine="283"/>
      </w:pPr>
      <w:r>
        <w:t>A. An external audit highlights several deficiencies</w:t>
      </w:r>
    </w:p>
    <w:p>
      <w:pPr>
        <w:spacing w:line="360" w:lineRule="auto" w:after="20"/>
        <w:ind w:firstLine="283"/>
      </w:pPr>
      <w:r>
        <w:t>B. The company is merging with or acquiring another entity</w:t>
      </w:r>
    </w:p>
    <w:p>
      <w:pPr>
        <w:spacing w:line="360" w:lineRule="auto" w:after="20"/>
        <w:ind w:firstLine="283"/>
      </w:pPr>
      <w:r>
        <w:t>C. Extensive AML legislation is proposed by a legislative body in the company's jurisdiction</w:t>
      </w:r>
    </w:p>
    <w:p>
      <w:pPr>
        <w:spacing w:line="360" w:lineRule="auto" w:after="20"/>
        <w:ind w:firstLine="283"/>
      </w:pPr>
      <w:r>
        <w:t>D. A high-profile money laundering case involving another industry is publicized</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并购改变风险偏好，须全面审查反洗钱计划</w:t>
      </w:r>
    </w:p>
    <w:p>
      <w:pPr>
        <w:spacing w:before="120" w:after="40"/>
      </w:pPr>
      <w:r>
        <w:rPr>
          <w:b/>
          <w:sz w:val="21"/>
          <w:shd w:fill="D6E4F0" w:val="clear"/>
        </w:rPr>
        <w:t>核心解析</w:t>
      </w:r>
    </w:p>
    <w:p>
      <w:pPr>
        <w:spacing w:line="360" w:lineRule="auto" w:after="40"/>
        <w:ind w:firstLine="420"/>
      </w:pPr>
      <w:r>
        <w:t>风险偏好是机构在业务和战略目标内可接受的风险水平</w:t>
      </w:r>
      <w:r>
        <w:rPr>
          <w:sz w:val="15"/>
          <w:vertAlign w:val="superscript"/>
        </w:rPr>
        <w:t>P271</w:t>
      </w:r>
      <w:r>
        <w:t>。当公司寻求与另一实体合并时，风险偏好可能发生变化，新组织可能纳入高风险活动</w:t>
      </w:r>
      <w:r>
        <w:rPr>
          <w:sz w:val="15"/>
          <w:vertAlign w:val="superscript"/>
        </w:rPr>
        <w:t>P271</w:t>
      </w:r>
      <w:r>
        <w:t>，因此反洗钱合规官有必要全面审查反洗钱计划，识别新风险并调整控制措施。此外，并购交易本身必须进行法律与合规审查，包括核实被收购公司的合规状况</w:t>
      </w:r>
      <w:r>
        <w:rPr>
          <w:sz w:val="15"/>
          <w:vertAlign w:val="superscript"/>
        </w:rPr>
        <w:t>P81</w:t>
      </w:r>
      <w:r>
        <w:t>。教材案例也显示，收购货币服务企业后常出现合规与运营困难，需重新构建金融犯罪职能结构</w:t>
      </w:r>
      <w:r>
        <w:rPr>
          <w:sz w:val="15"/>
          <w:vertAlign w:val="superscript"/>
        </w:rPr>
        <w:t>P254</w:t>
      </w:r>
      <w:r>
        <w:t>。由此，合并或收购另一实体直接带来了风险轮廓的结构性变化，最需要开展全面审查。</w:t>
      </w:r>
    </w:p>
    <w:p>
      <w:pPr>
        <w:spacing w:before="120" w:after="40"/>
      </w:pPr>
      <w:r>
        <w:rPr>
          <w:b/>
          <w:sz w:val="21"/>
          <w:shd w:fill="D6E4F0" w:val="clear"/>
        </w:rPr>
        <w:t>A项错误</w:t>
      </w:r>
    </w:p>
    <w:p>
      <w:pPr>
        <w:spacing w:line="360" w:lineRule="auto" w:after="40"/>
        <w:ind w:firstLine="420"/>
      </w:pPr>
      <w:r>
        <w:t>外部审计发现不足可能指向特定控制缺陷，其改进范围通常有限，不必然要求全面审查整个反洗钱计划。教材指出独立审计可提供客观评估</w:t>
      </w:r>
      <w:r>
        <w:rPr>
          <w:sz w:val="15"/>
          <w:vertAlign w:val="superscript"/>
        </w:rPr>
        <w:t>P257</w:t>
      </w:r>
      <w:r>
        <w:t>，但在引发整体重审的紧迫性上，不如并购这种根本性业务变化直接。</w:t>
      </w:r>
    </w:p>
    <w:p>
      <w:pPr>
        <w:spacing w:before="120" w:after="40"/>
      </w:pPr>
      <w:r>
        <w:rPr>
          <w:b/>
          <w:sz w:val="21"/>
          <w:shd w:fill="D6E4F0" w:val="clear"/>
        </w:rPr>
        <w:t>C项错误</w:t>
      </w:r>
    </w:p>
    <w:p>
      <w:pPr>
        <w:spacing w:line="360" w:lineRule="auto" w:after="40"/>
        <w:ind w:firstLine="420"/>
      </w:pPr>
      <w:r>
        <w:t>立法提议仍处于建议阶段，尚未形成可执行的法规，此时启动全面审查过于超前。教材要求政策定期更新以反映新监管要求</w:t>
      </w:r>
      <w:r>
        <w:rPr>
          <w:sz w:val="15"/>
          <w:vertAlign w:val="superscript"/>
        </w:rPr>
        <w:t>P289</w:t>
      </w:r>
      <w:r>
        <w:t>，但提议阶段并不等同于法律变更已生效，匹配度不及并购触发的即刻风险变化。</w:t>
      </w:r>
    </w:p>
    <w:p>
      <w:pPr>
        <w:spacing w:before="120" w:after="40"/>
      </w:pPr>
      <w:r>
        <w:rPr>
          <w:b/>
          <w:sz w:val="21"/>
          <w:shd w:fill="D6E4F0" w:val="clear"/>
        </w:rPr>
        <w:t>D项错误</w:t>
      </w:r>
    </w:p>
    <w:p>
      <w:pPr>
        <w:spacing w:line="360" w:lineRule="auto" w:after="40"/>
        <w:ind w:firstLine="420"/>
      </w:pPr>
      <w:r>
        <w:t>其他行业的重大洗钱案件可为合规团队提供洞察与借鉴</w:t>
      </w:r>
      <w:r>
        <w:rPr>
          <w:sz w:val="15"/>
          <w:vertAlign w:val="superscript"/>
        </w:rPr>
        <w:t>P51</w:t>
      </w:r>
      <w:r>
        <w:t>，但自身反洗钱计划的全面审查主要由内部业务变化驱动。外部案例不直接改变公司的风险状况，相比之下，并购直接带来新的风险暴露，更需要全面审查。</w:t>
      </w:r>
    </w:p>
    <w:p>
      <w:pPr>
        <w:spacing w:line="360" w:lineRule="auto" w:after="120"/>
      </w:pPr>
      <w:r/>
    </w:p>
    <w:p>
      <w:pPr>
        <w:spacing w:line="360" w:lineRule="auto" w:after="40"/>
      </w:pPr>
      <w:r>
        <w:t>7. How should national and sectoral risk assessments influence an organization's risk-based approach and internal risk assessment? ( )</w:t>
      </w:r>
    </w:p>
    <w:p>
      <w:pPr>
        <w:spacing w:line="360" w:lineRule="auto" w:after="20"/>
        <w:ind w:firstLine="283"/>
      </w:pPr>
      <w:r>
        <w:t>A. They should be referenced and integrated appropriately into an organization's risk assessment to tailor enhanced due diligence (EDD) procedures and allocate resources effectively</w:t>
      </w:r>
    </w:p>
    <w:p>
      <w:pPr>
        <w:spacing w:line="360" w:lineRule="auto" w:after="20"/>
        <w:ind w:firstLine="283"/>
      </w:pPr>
      <w:r>
        <w:t>B. They provide general guidance but do not need to be directly considered because internal risk factors are more important</w:t>
      </w:r>
    </w:p>
    <w:p>
      <w:pPr>
        <w:spacing w:line="360" w:lineRule="auto" w:after="20"/>
        <w:ind w:firstLine="283"/>
      </w:pPr>
      <w:r>
        <w:t>C. They should only be referenced for high-risk clients as they are designed for worst-case scenarios</w:t>
      </w:r>
    </w:p>
    <w:p>
      <w:pPr>
        <w:spacing w:line="360" w:lineRule="auto" w:after="20"/>
        <w:ind w:firstLine="283"/>
      </w:pPr>
      <w:r>
        <w:t>D. They are primarily intended for regulators and should not influence the organization's risk assessment</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国家与行业风险评估（NRA/SRA）应被纳入机构内部风险评估，以定制EDD与资源分配</w:t>
      </w:r>
    </w:p>
    <w:p>
      <w:pPr>
        <w:spacing w:before="120" w:after="40"/>
      </w:pPr>
      <w:r>
        <w:rPr>
          <w:b/>
          <w:sz w:val="21"/>
          <w:shd w:fill="D6E4F0" w:val="clear"/>
        </w:rPr>
        <w:t>核心解析</w:t>
      </w:r>
    </w:p>
    <w:p>
      <w:pPr>
        <w:spacing w:line="360" w:lineRule="auto" w:after="40"/>
        <w:ind w:firstLine="420"/>
      </w:pPr>
      <w:r>
        <w:t>企业全面风险评估（EWRA）应当包含对其开展或计划开展业务的任何司法管辖区的国家风险评估（NRA）和行业风险评估（SRA）中识别的风险的考量</w:t>
      </w:r>
      <w:r>
        <w:rPr>
          <w:sz w:val="15"/>
          <w:vertAlign w:val="superscript"/>
        </w:rPr>
        <w:t>P268</w:t>
      </w:r>
      <w:r>
        <w:t>。在确定固有风险的过程中，理解适用于所在行业和地域的国家及行业风险评估也是重要步骤</w:t>
      </w:r>
      <w:r>
        <w:rPr>
          <w:sz w:val="15"/>
          <w:vertAlign w:val="superscript"/>
        </w:rPr>
        <w:t>P275</w:t>
      </w:r>
      <w:r>
        <w:t>。因此，组织在采用风险为本方法时，应当恰当地引用并整合这些来自外部的风险评估信息，用以调整强化尽职调查程序，并将资源有效分配到高风险领域。选项A直接体现了这一教材要求，正确体现了NRA/SRA与内部风险评估的关系。</w:t>
      </w:r>
    </w:p>
    <w:p>
      <w:pPr>
        <w:spacing w:before="120" w:after="40"/>
      </w:pPr>
      <w:r>
        <w:rPr>
          <w:b/>
          <w:sz w:val="21"/>
          <w:shd w:fill="D6E4F0" w:val="clear"/>
        </w:rPr>
        <w:t>教材原句</w:t>
      </w:r>
    </w:p>
    <w:p>
      <w:pPr>
        <w:spacing w:line="360" w:lineRule="auto" w:after="40"/>
        <w:ind w:firstLine="420"/>
      </w:pPr>
      <w:r>
        <w:t>"EWRAs should include consideration of the risks identified in the NRAs and SRAs for any jurisdiction in which they do business or plan to do business."</w:t>
      </w:r>
    </w:p>
    <w:p>
      <w:pPr>
        <w:spacing w:before="120" w:after="40"/>
      </w:pPr>
      <w:r>
        <w:rPr>
          <w:b/>
          <w:sz w:val="21"/>
          <w:shd w:fill="D6E4F0" w:val="clear"/>
        </w:rPr>
        <w:t>B项错误</w:t>
      </w:r>
    </w:p>
    <w:p>
      <w:pPr>
        <w:spacing w:line="360" w:lineRule="auto" w:after="40"/>
        <w:ind w:firstLine="420"/>
      </w:pPr>
      <w:r>
        <w:t>教材要求机构应将NRA/SRA纳入自身风险评估（P268, P275），而非仅将其视为一般性指导或可忽略的外部参照。选项B认为内部因素更为重要而无需直接考虑，但风险为本方法恰恰强调内外部风险因素的整合，A比B更吻合教材框架。</w:t>
      </w:r>
    </w:p>
    <w:p>
      <w:pPr>
        <w:spacing w:before="120" w:after="40"/>
      </w:pPr>
      <w:r>
        <w:rPr>
          <w:b/>
          <w:sz w:val="21"/>
          <w:shd w:fill="D6E4F0" w:val="clear"/>
        </w:rPr>
        <w:t>C项错误</w:t>
      </w:r>
    </w:p>
    <w:p>
      <w:pPr>
        <w:spacing w:line="360" w:lineRule="auto" w:after="40"/>
        <w:ind w:firstLine="420"/>
      </w:pPr>
      <w:r>
        <w:t>NRA/SRA的用途是帮助组织管理整体风险，并非仅为高风险客户或最坏情况设计。教材指出理解NRA/SRA是确定固有风险过程中的一环</w:t>
      </w:r>
      <w:r>
        <w:rPr>
          <w:sz w:val="15"/>
          <w:vertAlign w:val="superscript"/>
        </w:rPr>
        <w:t>P275</w:t>
      </w:r>
      <w:r>
        <w:t>，应贯穿机构整体风险评估，而不是仅针对高风险客户才参考。选项A更全面地反映了这一整合要求。</w:t>
      </w:r>
    </w:p>
    <w:p>
      <w:pPr>
        <w:spacing w:before="120" w:after="40"/>
      </w:pPr>
      <w:r>
        <w:rPr>
          <w:b/>
          <w:sz w:val="21"/>
          <w:shd w:fill="D6E4F0" w:val="clear"/>
        </w:rPr>
        <w:t>D项错误</w:t>
      </w:r>
    </w:p>
    <w:p>
      <w:pPr>
        <w:spacing w:line="360" w:lineRule="auto" w:after="40"/>
        <w:ind w:firstLine="420"/>
      </w:pPr>
      <w:r>
        <w:t>教材明确要求机构的EWRA应纳入NRA/SRA的见解</w:t>
      </w:r>
      <w:r>
        <w:rPr>
          <w:sz w:val="15"/>
          <w:vertAlign w:val="superscript"/>
        </w:rPr>
        <w:t>P268</w:t>
      </w:r>
      <w:r>
        <w:t>，并且理解这些评估是风险评估过程的重要组成部分</w:t>
      </w:r>
      <w:r>
        <w:rPr>
          <w:sz w:val="15"/>
          <w:vertAlign w:val="superscript"/>
        </w:rPr>
        <w:t>P275</w:t>
      </w:r>
      <w:r>
        <w:t>。将NRA/SRA定位为仅面向监管机构且不影响机构自身评估，直接与教材立场相悖。A更直接地体现了教材对NRA/SRA应用的核心要求。</w:t>
      </w:r>
    </w:p>
    <w:p>
      <w:pPr>
        <w:spacing w:before="120" w:after="40"/>
      </w:pPr>
      <w:r>
        <w:rPr>
          <w:b/>
          <w:sz w:val="21"/>
          <w:shd w:fill="D6E4F0" w:val="clear"/>
        </w:rPr>
        <w:t>易错提醒</w:t>
      </w:r>
    </w:p>
    <w:p>
      <w:pPr>
        <w:spacing w:line="360" w:lineRule="auto" w:after="40"/>
        <w:ind w:firstLine="420"/>
      </w:pPr>
      <w:r>
        <w:t>国家与行业风险评估并不是仅供监管机构使用的抽象背景，而是机构应当纳入自身全面风险评估（EWRA）的外部见解，用以管理内部风险并优化资源配置</w:t>
      </w:r>
      <w:r>
        <w:rPr>
          <w:sz w:val="15"/>
          <w:vertAlign w:val="superscript"/>
        </w:rPr>
        <w:t>P268</w:t>
      </w:r>
      <w:r>
        <w:t>。</w:t>
      </w:r>
    </w:p>
    <w:p>
      <w:pPr>
        <w:spacing w:line="360" w:lineRule="auto" w:after="120"/>
      </w:pPr>
      <w:r/>
    </w:p>
    <w:p>
      <w:pPr>
        <w:spacing w:line="360" w:lineRule="auto" w:after="40"/>
      </w:pPr>
      <w:r>
        <w:t>8. A multinational corporation is considering expanding into a new market with a history of political instability and corruption. Which strategy would be most effective in mitigating reputational risk from a financial crime perspective associated with such an expansion? ( )</w:t>
      </w:r>
    </w:p>
    <w:p>
      <w:pPr>
        <w:spacing w:line="360" w:lineRule="auto" w:after="20"/>
        <w:ind w:firstLine="283"/>
      </w:pPr>
      <w:r>
        <w:t>A. Ensure the jurisdiction risks and other relevant factors have been taken into consideration in the EWRA and the residual risks are within the corporation's risk appetite</w:t>
      </w:r>
    </w:p>
    <w:p>
      <w:pPr>
        <w:spacing w:line="360" w:lineRule="auto" w:after="20"/>
        <w:ind w:firstLine="283"/>
      </w:pPr>
      <w:r>
        <w:t>B. Partnering with established local businesses to leverage their knowledge and connections while sharing risks</w:t>
      </w:r>
    </w:p>
    <w:p>
      <w:pPr>
        <w:spacing w:line="360" w:lineRule="auto" w:after="20"/>
        <w:ind w:firstLine="283"/>
      </w:pPr>
      <w:r>
        <w:t>C. Ensuring the company has strong ties with local government officials to influence policy and avoid negative scrutiny</w:t>
      </w:r>
    </w:p>
    <w:p>
      <w:pPr>
        <w:spacing w:line="360" w:lineRule="auto" w:after="20"/>
        <w:ind w:firstLine="283"/>
      </w:pPr>
      <w:r>
        <w:t>D. Committing to open communication, ethical practices, and community engagement to build trust with stakeholders</w:t>
      </w:r>
    </w:p>
    <w:p>
      <w:pPr>
        <w:spacing w:line="360" w:lineRule="auto" w:after="20"/>
        <w:ind w:firstLine="283"/>
      </w:pPr>
      <w:r>
        <w:t>E. Minimizing the company's direct presence in the country to reduce exposure to potential risks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运用 EWRA 将管辖权风险纳入考量并确认剩余风险在风险偏好内</w:t>
      </w:r>
    </w:p>
    <w:p>
      <w:pPr>
        <w:spacing w:before="120" w:after="40"/>
      </w:pPr>
      <w:r>
        <w:rPr>
          <w:b/>
          <w:sz w:val="21"/>
          <w:shd w:fill="D6E4F0" w:val="clear"/>
        </w:rPr>
        <w:t>核心解析</w:t>
      </w:r>
    </w:p>
    <w:p>
      <w:pPr>
        <w:spacing w:line="360" w:lineRule="auto" w:after="40"/>
        <w:ind w:firstLine="420"/>
      </w:pPr>
      <w:r>
        <w:t>企业全面风险评估（EWRA）分析评估组织内识别的洗钱与恐怖融资风险，考虑客户、地域、产品等特征</w:t>
      </w:r>
      <w:r>
        <w:rPr>
          <w:sz w:val="15"/>
          <w:vertAlign w:val="superscript"/>
        </w:rPr>
        <w:t>P268</w:t>
      </w:r>
      <w:r>
        <w:t>。进入高风险区域时，EWRA 应纳入国家风险评估和行业风险评估中识别的风险</w:t>
      </w:r>
      <w:r>
        <w:rPr>
          <w:sz w:val="15"/>
          <w:vertAlign w:val="superscript"/>
        </w:rPr>
        <w:t>P268</w:t>
      </w:r>
      <w:r>
        <w:t>，流程包括确定固有风险、评估控制有效性、计算剩余风险</w:t>
      </w:r>
      <w:r>
        <w:rPr>
          <w:sz w:val="15"/>
          <w:vertAlign w:val="superscript"/>
        </w:rPr>
        <w:t>P268</w:t>
      </w:r>
      <w:r>
        <w:t>，并确保剩余风险在风险偏好声明（RAS）范围内</w:t>
      </w:r>
      <w:r>
        <w:rPr>
          <w:sz w:val="15"/>
          <w:vertAlign w:val="superscript"/>
        </w:rPr>
        <w:t>P286</w:t>
      </w:r>
      <w:r>
        <w:t>。题干中跨国公司计划进入政治不稳定、腐败严重的市场，最有效的金融犯罪风险缓解策略是将该管辖区的风险纳入 EWRA，判断剩余风险是否在公司的风险承受范围内。这直接对应教材对 EWRA 用于业务扩张决策的描述，相比其他选项更精确地匹配声誉风险管理流程。</w:t>
      </w:r>
    </w:p>
    <w:p>
      <w:pPr>
        <w:spacing w:before="120" w:after="40"/>
      </w:pPr>
      <w:r>
        <w:rPr>
          <w:b/>
          <w:sz w:val="21"/>
          <w:shd w:fill="D6E4F0" w:val="clear"/>
        </w:rPr>
        <w:t>B项错误</w:t>
      </w:r>
    </w:p>
    <w:p>
      <w:pPr>
        <w:spacing w:line="360" w:lineRule="auto" w:after="40"/>
        <w:ind w:firstLine="420"/>
      </w:pPr>
      <w:r>
        <w:t>与当地企业合作意味着使用中介，教材指出在高风险地区使用中介的跨国公司面临更高的贿赂风险</w:t>
      </w:r>
      <w:r>
        <w:rPr>
          <w:sz w:val="15"/>
          <w:vertAlign w:val="superscript"/>
        </w:rPr>
        <w:t>P27</w:t>
      </w:r>
      <w:r>
        <w:t>。这反而可能增加金融犯罪风险，不如通过 EWRA 评估管辖权风险直接有效。</w:t>
      </w:r>
    </w:p>
    <w:p>
      <w:pPr>
        <w:spacing w:before="120" w:after="40"/>
      </w:pPr>
      <w:r>
        <w:rPr>
          <w:b/>
          <w:sz w:val="21"/>
          <w:shd w:fill="D6E4F0" w:val="clear"/>
        </w:rPr>
        <w:t>C项错误</w:t>
      </w:r>
    </w:p>
    <w:p>
      <w:pPr>
        <w:spacing w:line="360" w:lineRule="auto" w:after="40"/>
        <w:ind w:firstLine="420"/>
      </w:pPr>
      <w:r>
        <w:t>保持与政府官员密切联系以影响政策和避免审查，本质上可能构成不当影响或腐败。教材将政治敏感人物（PEP）定义为可能面临更高贿赂和腐败风险的个体</w:t>
      </w:r>
      <w:r>
        <w:rPr>
          <w:sz w:val="15"/>
          <w:vertAlign w:val="superscript"/>
        </w:rPr>
        <w:t>P137</w:t>
      </w:r>
      <w:r>
        <w:t>。主动建立此类联系加剧了风险暴露，不如 EWRA 提供系统性的风险缓释。</w:t>
      </w:r>
    </w:p>
    <w:p>
      <w:pPr>
        <w:spacing w:before="120" w:after="40"/>
      </w:pPr>
      <w:r>
        <w:rPr>
          <w:b/>
          <w:sz w:val="21"/>
          <w:shd w:fill="D6E4F0" w:val="clear"/>
        </w:rPr>
        <w:t>D项错误</w:t>
      </w:r>
    </w:p>
    <w:p>
      <w:pPr>
        <w:spacing w:line="360" w:lineRule="auto" w:after="40"/>
        <w:ind w:firstLine="420"/>
      </w:pPr>
      <w:r>
        <w:t>开放沟通、道德实践和社区参与属 ESG 社会维度</w:t>
      </w:r>
      <w:r>
        <w:rPr>
          <w:sz w:val="15"/>
          <w:vertAlign w:val="superscript"/>
        </w:rPr>
        <w:t>P216</w:t>
      </w:r>
      <w:r>
        <w:t>，能建立信任，但教材定义声誉风险源于控制薄弱被犯罪分子利用</w:t>
      </w:r>
      <w:r>
        <w:rPr>
          <w:sz w:val="15"/>
          <w:vertAlign w:val="superscript"/>
        </w:rPr>
        <w:t>P48</w:t>
      </w:r>
      <w:r>
        <w:t>。从金融犯罪角度，直接的风险评估与控制措施更关键，D 的匹配度不如 A。</w:t>
      </w:r>
    </w:p>
    <w:p>
      <w:pPr>
        <w:spacing w:before="120" w:after="40"/>
      </w:pPr>
      <w:r>
        <w:rPr>
          <w:b/>
          <w:sz w:val="21"/>
          <w:shd w:fill="D6E4F0" w:val="clear"/>
        </w:rPr>
        <w:t>E项错误</w:t>
      </w:r>
    </w:p>
    <w:p>
      <w:pPr>
        <w:spacing w:line="360" w:lineRule="auto" w:after="40"/>
        <w:ind w:firstLine="420"/>
      </w:pPr>
      <w:r>
        <w:t>最小化直接存在是去风险化（de-risking）做法，教材明确基于风险规避的广泛决策与 FATF 建议相悖，FATF 强调基于风险的个别管理</w:t>
      </w:r>
      <w:r>
        <w:rPr>
          <w:sz w:val="15"/>
          <w:vertAlign w:val="superscript"/>
        </w:rPr>
        <w:t>P366</w:t>
      </w:r>
      <w:r>
        <w:t>。因此该策略不如进行个别风险评估（EWRA）更符合国际标准。</w:t>
      </w:r>
    </w:p>
    <w:p>
      <w:pPr>
        <w:spacing w:before="120" w:after="40"/>
      </w:pPr>
      <w:r>
        <w:rPr>
          <w:b/>
          <w:sz w:val="21"/>
          <w:shd w:fill="D6E4F0" w:val="clear"/>
        </w:rPr>
        <w:t>易错提醒</w:t>
      </w:r>
    </w:p>
    <w:p>
      <w:pPr>
        <w:spacing w:line="360" w:lineRule="auto" w:after="40"/>
        <w:ind w:firstLine="420"/>
      </w:pPr>
      <w:r>
        <w:t>去风险化（de-risking）与基于风险的方法（EWRA）易混淆：FATF 建议强调比例相称的、基于风险的个别管理，而非因风险规避而广泛排除</w:t>
      </w:r>
      <w:r>
        <w:rPr>
          <w:sz w:val="15"/>
          <w:vertAlign w:val="superscript"/>
        </w:rPr>
        <w:t>P366</w:t>
      </w:r>
      <w:r>
        <w:t>。进入高风险市场时，应优先通过 EWRA 评估剩余风险是否在风险偏好内，而非直接最小化存在。</w:t>
      </w:r>
    </w:p>
    <w:p>
      <w:pPr>
        <w:spacing w:line="360" w:lineRule="auto" w:after="120"/>
      </w:pPr>
      <w:r/>
    </w:p>
    <w:p>
      <w:pPr>
        <w:spacing w:line="360" w:lineRule="auto" w:after="40"/>
      </w:pPr>
      <w:r>
        <w:t>9. What is the first step in designing an effective controls framework using a risk-based approach? ( )</w:t>
      </w:r>
    </w:p>
    <w:p>
      <w:pPr>
        <w:spacing w:line="360" w:lineRule="auto" w:after="20"/>
        <w:ind w:firstLine="283"/>
      </w:pPr>
      <w:r>
        <w:t>A. Establishing risk controls</w:t>
      </w:r>
    </w:p>
    <w:p>
      <w:pPr>
        <w:spacing w:line="360" w:lineRule="auto" w:after="20"/>
        <w:ind w:firstLine="283"/>
      </w:pPr>
      <w:r>
        <w:t>B. Assessing risk controls</w:t>
      </w:r>
    </w:p>
    <w:p>
      <w:pPr>
        <w:spacing w:line="360" w:lineRule="auto" w:after="20"/>
        <w:ind w:firstLine="283"/>
      </w:pPr>
      <w:r>
        <w:t>C. Ongoing risk monitoring</w:t>
      </w:r>
    </w:p>
    <w:p>
      <w:pPr>
        <w:spacing w:line="360" w:lineRule="auto" w:after="20"/>
        <w:ind w:firstLine="283"/>
      </w:pPr>
      <w:r>
        <w:t>D. Conducting a risk assessment</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识别风险为本控制框架的设计第一步是风险评估</w:t>
      </w:r>
    </w:p>
    <w:p>
      <w:pPr>
        <w:spacing w:before="120" w:after="40"/>
      </w:pPr>
      <w:r>
        <w:rPr>
          <w:b/>
          <w:sz w:val="21"/>
          <w:shd w:fill="D6E4F0" w:val="clear"/>
        </w:rPr>
        <w:t>核心解析</w:t>
      </w:r>
    </w:p>
    <w:p>
      <w:pPr>
        <w:spacing w:line="360" w:lineRule="auto" w:after="40"/>
        <w:ind w:firstLine="420"/>
      </w:pPr>
      <w:r>
        <w:t>采用风险为本方法需要一套风险管理流程来处理金融犯罪，该流程包括识别风险、评估风险，然后制定控制策略以减轻和监测风险</w:t>
      </w:r>
      <w:r>
        <w:rPr>
          <w:sz w:val="15"/>
          <w:vertAlign w:val="superscript"/>
        </w:rPr>
        <w:t>P271</w:t>
      </w:r>
      <w:r>
        <w:t>。这意味着在设计任何控制措施之前，必须先通过风险评估来了解组织面临的风险类型及其潜在影响。题干问的是设计有效控制框架的第一步，按照教材流程，“进行风险评估”位于识别与评估阶段，直接匹配这个前置步骤，因此是正确答案。</w:t>
      </w:r>
    </w:p>
    <w:p>
      <w:pPr>
        <w:spacing w:before="120" w:after="40"/>
      </w:pPr>
      <w:r>
        <w:rPr>
          <w:b/>
          <w:sz w:val="21"/>
          <w:shd w:fill="D6E4F0" w:val="clear"/>
        </w:rPr>
        <w:t>教材原句</w:t>
      </w:r>
    </w:p>
    <w:p>
      <w:pPr>
        <w:spacing w:line="360" w:lineRule="auto" w:after="40"/>
        <w:ind w:firstLine="420"/>
      </w:pPr>
      <w:r>
        <w:t>"Adopting a risk-based approach requires a risk management process to handle financial crime. This process encompasses recognizing the risks, assessing them, and developing control strategies to mitigate and monitor them."</w:t>
      </w:r>
    </w:p>
    <w:p>
      <w:pPr>
        <w:spacing w:before="120" w:after="40"/>
      </w:pPr>
      <w:r>
        <w:rPr>
          <w:b/>
          <w:sz w:val="21"/>
          <w:shd w:fill="D6E4F0" w:val="clear"/>
        </w:rPr>
        <w:t>A项错误</w:t>
      </w:r>
    </w:p>
    <w:p>
      <w:pPr>
        <w:spacing w:line="360" w:lineRule="auto" w:after="40"/>
        <w:ind w:firstLine="420"/>
      </w:pPr>
      <w:r>
        <w:t>建立风险控制机制属于流程中制定控制策略的环节，在风险评估之后进行，题干更直接要求的是前置的评估步骤，而非控制本身。</w:t>
      </w:r>
    </w:p>
    <w:p>
      <w:pPr>
        <w:spacing w:before="120" w:after="40"/>
      </w:pPr>
      <w:r>
        <w:rPr>
          <w:b/>
          <w:sz w:val="21"/>
          <w:shd w:fill="D6E4F0" w:val="clear"/>
        </w:rPr>
        <w:t>B项错误</w:t>
      </w:r>
    </w:p>
    <w:p>
      <w:pPr>
        <w:spacing w:line="360" w:lineRule="auto" w:after="40"/>
        <w:ind w:firstLine="420"/>
      </w:pPr>
      <w:r>
        <w:t>评估风险控制措施是在已有控制的前提下检测其充分性，教材将其列为风险评估之后的步骤</w:t>
      </w:r>
      <w:r>
        <w:rPr>
          <w:sz w:val="15"/>
          <w:vertAlign w:val="superscript"/>
        </w:rPr>
        <w:t>P52</w:t>
      </w:r>
      <w:r>
        <w:t>，与题干要求的初始第一步相比，时间顺序靠后。</w:t>
      </w:r>
    </w:p>
    <w:p>
      <w:pPr>
        <w:spacing w:before="120" w:after="40"/>
      </w:pPr>
      <w:r>
        <w:rPr>
          <w:b/>
          <w:sz w:val="21"/>
          <w:shd w:fill="D6E4F0" w:val="clear"/>
        </w:rPr>
        <w:t>C项错误</w:t>
      </w:r>
    </w:p>
    <w:p>
      <w:pPr>
        <w:spacing w:line="360" w:lineRule="auto" w:after="40"/>
        <w:ind w:firstLine="420"/>
      </w:pPr>
      <w:r>
        <w:t>持续的风险监测属于控制措施实施后的持续活动，是风险管理流程的后期环节，不是设计控制框架的起点。</w:t>
      </w:r>
    </w:p>
    <w:p>
      <w:pPr>
        <w:spacing w:before="120" w:after="40"/>
      </w:pPr>
      <w:r>
        <w:rPr>
          <w:b/>
          <w:sz w:val="21"/>
          <w:shd w:fill="D6E4F0" w:val="clear"/>
        </w:rPr>
        <w:t>易错提醒</w:t>
      </w:r>
    </w:p>
    <w:p>
      <w:pPr>
        <w:spacing w:line="360" w:lineRule="auto" w:after="40"/>
        <w:ind w:firstLine="420"/>
      </w:pPr>
      <w:r>
        <w:t>风险管理的标准流程是“识别/评估风险 → 建立控制 → 监测”，建立控制和评估控制措施都在风险评估之后。题干的“第一步”指向流程最前端，故选择进行风险评估，而非下游的控制或监测。</w:t>
      </w:r>
    </w:p>
    <w:p>
      <w:pPr>
        <w:spacing w:line="360" w:lineRule="auto" w:after="120"/>
      </w:pPr>
      <w:r/>
    </w:p>
    <w:p>
      <w:pPr>
        <w:spacing w:line="360" w:lineRule="auto" w:after="40"/>
      </w:pPr>
      <w:r>
        <w:t>10. Which control would be most effective as part of a risk-based approach (RBA) to managing AML/CFT risk for a bank established in the EU that also has a branch in a high-risk third country outside of the EU? ( )</w:t>
      </w:r>
    </w:p>
    <w:p>
      <w:pPr>
        <w:spacing w:line="360" w:lineRule="auto" w:after="20"/>
        <w:ind w:firstLine="283"/>
      </w:pPr>
      <w:r>
        <w:t>A. Fully rely on central beneficial owner registry records in the high-risk third country to determine the ultimate beneficial owners of all customers</w:t>
      </w:r>
    </w:p>
    <w:p>
      <w:pPr>
        <w:spacing w:line="360" w:lineRule="auto" w:after="20"/>
        <w:ind w:firstLine="283"/>
      </w:pPr>
      <w:r>
        <w:t>B. Apply tailored due diligence measures, based on the level of risk posed by each customer following risk assessment</w:t>
      </w:r>
    </w:p>
    <w:p>
      <w:pPr>
        <w:spacing w:line="360" w:lineRule="auto" w:after="20"/>
        <w:ind w:firstLine="283"/>
      </w:pPr>
      <w:r>
        <w:t>C. Monitor every cross-border transaction in real time, flagging all for enhanced scrutiny due to the country risk level</w:t>
      </w:r>
    </w:p>
    <w:p>
      <w:pPr>
        <w:spacing w:line="360" w:lineRule="auto" w:after="20"/>
        <w:ind w:firstLine="283"/>
      </w:pPr>
      <w:r>
        <w:t>D. Apply enhanced customer due diligence measures automatically to all customers of the high-risk third-country branch, regardless of their risk level</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风险为本方法（RBA）的核心：根据客户具体风险程度采取相应措施</w:t>
      </w:r>
    </w:p>
    <w:p>
      <w:pPr>
        <w:spacing w:before="120" w:after="40"/>
      </w:pPr>
      <w:r>
        <w:rPr>
          <w:b/>
          <w:sz w:val="21"/>
          <w:shd w:fill="D6E4F0" w:val="clear"/>
        </w:rPr>
        <w:t>核心解析</w:t>
      </w:r>
    </w:p>
    <w:p>
      <w:pPr>
        <w:spacing w:line="360" w:lineRule="auto" w:after="40"/>
        <w:ind w:firstLine="420"/>
      </w:pPr>
      <w:r>
        <w:t>风险为本方法（RBA）指识别、评估和理解洗钱/恐怖融资风险，并采取适当措施有效缓解这些风险</w:t>
      </w:r>
      <w:r>
        <w:rPr>
          <w:sz w:val="15"/>
          <w:vertAlign w:val="superscript"/>
        </w:rPr>
        <w:t>P270</w:t>
      </w:r>
      <w:r>
        <w:t>。RBA要求根据风险暴露程度优先排序并采取适当措施</w:t>
      </w:r>
      <w:r>
        <w:rPr>
          <w:sz w:val="15"/>
          <w:vertAlign w:val="superscript"/>
        </w:rPr>
        <w:t>P267</w:t>
      </w:r>
      <w:r>
        <w:t>。题干所述银行在欧盟设立且在高风险第三国设有分支机构，最有效的RBA控制不是对所有交易或客户一刀切，也不是完全依赖外部登记册，而是先对每个客户进行风险评估，再根据其具体风险等级采取有针对性（tailored）的尽职调查措施。选项B直接体现了这一原则：以客户风险评估为基础，差异化分配资源，既满足监管期望，又使控制措施与风险水平相匹配。</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A项错误</w:t>
      </w:r>
    </w:p>
    <w:p>
      <w:pPr>
        <w:spacing w:line="360" w:lineRule="auto" w:after="40"/>
        <w:ind w:firstLine="420"/>
      </w:pPr>
      <w:r>
        <w:t>完全依赖第三国的中央受益所有人登记册，忽略了RBA要求机构自主评估风险，且该登记册在第三国可能不完整，不如B通过自身风险评估决定措施更直接。</w:t>
      </w:r>
    </w:p>
    <w:p>
      <w:pPr>
        <w:spacing w:before="120" w:after="40"/>
      </w:pPr>
      <w:r>
        <w:rPr>
          <w:b/>
          <w:sz w:val="21"/>
          <w:shd w:fill="D6E4F0" w:val="clear"/>
        </w:rPr>
        <w:t>C项错误</w:t>
      </w:r>
    </w:p>
    <w:p>
      <w:pPr>
        <w:spacing w:line="360" w:lineRule="auto" w:after="40"/>
        <w:ind w:firstLine="420"/>
      </w:pPr>
      <w:r>
        <w:t>RBA强调优先排序和资源聚焦，对所有跨境交易实时监控并全部加强审查，与RBA根据风险水平差异化分配资源的原则相悖，不如B的针对性措施吻合教材定义。</w:t>
      </w:r>
    </w:p>
    <w:p>
      <w:pPr>
        <w:spacing w:before="120" w:after="40"/>
      </w:pPr>
      <w:r>
        <w:rPr>
          <w:b/>
          <w:sz w:val="21"/>
          <w:shd w:fill="D6E4F0" w:val="clear"/>
        </w:rPr>
        <w:t>D项错误</w:t>
      </w:r>
    </w:p>
    <w:p>
      <w:pPr>
        <w:spacing w:line="360" w:lineRule="auto" w:after="40"/>
        <w:ind w:firstLine="420"/>
      </w:pPr>
      <w:r>
        <w:t>RBA要求对每位客户进行分类和风险评级，再根据风险水平决定是否适用强化尽职调查</w:t>
      </w:r>
      <w:r>
        <w:rPr>
          <w:sz w:val="15"/>
          <w:vertAlign w:val="superscript"/>
        </w:rPr>
        <w:t>P270</w:t>
      </w:r>
      <w:r>
        <w:t>。自动对所有客户采取EDD，不论其风险等级，无法体现风险差异化，不如B的“基于风险程度”匹配。</w:t>
      </w:r>
    </w:p>
    <w:p>
      <w:pPr>
        <w:spacing w:before="120" w:after="40"/>
      </w:pPr>
      <w:r>
        <w:rPr>
          <w:b/>
          <w:sz w:val="21"/>
          <w:shd w:fill="D6E4F0" w:val="clear"/>
        </w:rPr>
        <w:t>易错提醒</w:t>
      </w:r>
    </w:p>
    <w:p>
      <w:pPr>
        <w:spacing w:line="360" w:lineRule="auto" w:after="40"/>
        <w:ind w:firstLine="420"/>
      </w:pPr>
      <w:r>
        <w:t>容易将“高风险国家/地区”标签与“客户个体高风险”混淆，认为分支机构位于高风险国家就应对所有客户一视同仁地强化尽职调查。教材明确，客户风险评估（CRA）中对每位客户进行分类和风险评级</w:t>
      </w:r>
      <w:r>
        <w:rPr>
          <w:sz w:val="15"/>
          <w:vertAlign w:val="superscript"/>
        </w:rPr>
        <w:t>P270</w:t>
      </w:r>
      <w:r>
        <w:t>，高风险客户才需强化尽职调查</w:t>
      </w:r>
      <w:r>
        <w:rPr>
          <w:sz w:val="15"/>
          <w:vertAlign w:val="superscript"/>
        </w:rPr>
        <w:t>P270</w:t>
      </w:r>
      <w:r>
        <w:t>，而非根据所在国家简单贴上标签。</w:t>
      </w:r>
    </w:p>
    <w:p>
      <w:pPr>
        <w:spacing w:line="360" w:lineRule="auto" w:after="120"/>
      </w:pPr>
      <w:r/>
    </w:p>
    <w:p>
      <w:pPr>
        <w:spacing w:line="360" w:lineRule="auto" w:after="40"/>
      </w:pPr>
      <w:r>
        <w:t>11. Which of the following best describes one of the principal threats of proliferation financing? ( )</w:t>
      </w:r>
    </w:p>
    <w:p>
      <w:pPr>
        <w:spacing w:line="360" w:lineRule="auto" w:after="20"/>
        <w:ind w:firstLine="283"/>
      </w:pPr>
      <w:r>
        <w:t>A. Adversary governments using sophisticated attacks to threaten critical infrastructure and sectors, including finance, health care, and energy</w:t>
      </w:r>
    </w:p>
    <w:p>
      <w:pPr>
        <w:spacing w:line="360" w:lineRule="auto" w:after="20"/>
        <w:ind w:firstLine="283"/>
      </w:pPr>
      <w:r>
        <w:t>B. Networks of individuals and entities exploiting financial systems to move funds that will be used to acquire weapons of mass destruction or their components</w:t>
      </w:r>
    </w:p>
    <w:p>
      <w:pPr>
        <w:spacing w:line="360" w:lineRule="auto" w:after="20"/>
        <w:ind w:firstLine="283"/>
      </w:pPr>
      <w:r>
        <w:t>C. Transnational criminal organizations expanding their engagement into more varied types of illicit activities, including human trafficking and corruption</w:t>
      </w:r>
    </w:p>
    <w:p>
      <w:pPr>
        <w:spacing w:line="360" w:lineRule="auto" w:after="20"/>
        <w:ind w:firstLine="283"/>
      </w:pPr>
      <w:r>
        <w:t>D. Networks of individuals and entities raising funds, in whole or in part, for their ideological goals through unlawful violence or force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识记扩散融资的核心定义：与大规模杀伤性武器获取相关的资金转移</w:t>
      </w:r>
    </w:p>
    <w:p>
      <w:pPr>
        <w:spacing w:before="120" w:after="40"/>
      </w:pPr>
      <w:r>
        <w:rPr>
          <w:b/>
          <w:sz w:val="21"/>
          <w:shd w:fill="D6E4F0" w:val="clear"/>
        </w:rPr>
        <w:t>核心解析</w:t>
      </w:r>
    </w:p>
    <w:p>
      <w:pPr>
        <w:spacing w:line="360" w:lineRule="auto" w:after="40"/>
        <w:ind w:firstLine="420"/>
      </w:pPr>
      <w:r>
        <w:t>扩散融资指核、化学或生物武器及其运载工具和相关材料的转让和出口</w:t>
      </w:r>
      <w:r>
        <w:rPr>
          <w:sz w:val="15"/>
          <w:vertAlign w:val="superscript"/>
        </w:rPr>
        <w:t>P269</w:t>
      </w:r>
      <w:r>
        <w:t>。防扩散风险是指有意或无意助长这类大规模杀伤性武器扩散的风险</w:t>
      </w:r>
      <w:r>
        <w:rPr>
          <w:sz w:val="15"/>
          <w:vertAlign w:val="superscript"/>
        </w:rPr>
        <w:t>P269</w:t>
      </w:r>
      <w:r>
        <w:t>。选项B描述的是个人和实体网络利用金融系统转移资金，用于获取大规模杀伤性武器或其部件，这一行为正属于扩散融资的典型威胁——即通过金融渠道为WMD的获取提供资金支持，完全吻合教材对扩散融资的定义。</w:t>
      </w:r>
    </w:p>
    <w:p>
      <w:pPr>
        <w:spacing w:before="120" w:after="40"/>
      </w:pPr>
      <w:r>
        <w:rPr>
          <w:b/>
          <w:sz w:val="21"/>
          <w:shd w:fill="D6E4F0" w:val="clear"/>
        </w:rPr>
        <w:t>教材原句</w:t>
      </w:r>
    </w:p>
    <w:p>
      <w:pPr>
        <w:spacing w:line="360" w:lineRule="auto" w:after="40"/>
        <w:ind w:firstLine="420"/>
      </w:pPr>
      <w:r>
        <w:t>"Proliferation financing refers to the transfer and export of nuclear, chemical, or biological weapons, their delivery means, and related materials."</w:t>
      </w:r>
    </w:p>
    <w:p>
      <w:pPr>
        <w:spacing w:before="120" w:after="40"/>
      </w:pPr>
      <w:r>
        <w:rPr>
          <w:b/>
          <w:sz w:val="21"/>
          <w:shd w:fill="D6E4F0" w:val="clear"/>
        </w:rPr>
        <w:t>A项错误</w:t>
      </w:r>
    </w:p>
    <w:p>
      <w:pPr>
        <w:spacing w:line="360" w:lineRule="auto" w:after="40"/>
        <w:ind w:firstLine="420"/>
      </w:pPr>
      <w:r>
        <w:t>选项A描述的是敌对政府利用复杂攻击手段威胁关键基础设施，这更贴近网络攻击或国家间安全威胁的范畴。教材中的扩散融资限定在与大规模杀伤性武器相关的转让和出口，题干未提及WMD要素，因此B项比A项更直接匹配扩散融资的定义。</w:t>
      </w:r>
    </w:p>
    <w:p>
      <w:pPr>
        <w:spacing w:before="120" w:after="40"/>
      </w:pPr>
      <w:r>
        <w:rPr>
          <w:b/>
          <w:sz w:val="21"/>
          <w:shd w:fill="D6E4F0" w:val="clear"/>
        </w:rPr>
        <w:t>C项错误</w:t>
      </w:r>
    </w:p>
    <w:p>
      <w:pPr>
        <w:spacing w:line="360" w:lineRule="auto" w:after="40"/>
        <w:ind w:firstLine="420"/>
      </w:pPr>
      <w:r>
        <w:t>选项C描述跨国犯罪组织将活动扩大到人口贩运和腐败等非法领域，这属于洗钱的上游犯罪中的有组织犯罪范畴，但并不特指为获取大规模杀伤性武器而进行的融资活动。相比之下，B项明确指向WMD相关资金转移，与教材中扩散融资概念的吻合度更高。</w:t>
      </w:r>
    </w:p>
    <w:p>
      <w:pPr>
        <w:spacing w:before="120" w:after="40"/>
      </w:pPr>
      <w:r>
        <w:rPr>
          <w:b/>
          <w:sz w:val="21"/>
          <w:shd w:fill="D6E4F0" w:val="clear"/>
        </w:rPr>
        <w:t>D项错误：选项D描述的个人和实体网络通过非法暴力手段为意识形态目标筹集资金，是恐怖融资的典型特征（P36）。而扩散融资专门针对大规模杀伤性武器的获取和转让（P269）。两者的根本区别在于资金用途</w:t>
      </w:r>
    </w:p>
    <w:p>
      <w:pPr>
        <w:spacing w:line="360" w:lineRule="auto" w:after="40"/>
        <w:ind w:firstLine="420"/>
      </w:pPr>
      <w:r>
        <w:t>恐怖融资服务于意识形态暴力，扩散融资服务于WMD扩散。因此，B项更直接对应扩散融资的威胁。</w:t>
      </w:r>
    </w:p>
    <w:p>
      <w:pPr>
        <w:spacing w:before="120" w:after="40"/>
      </w:pPr>
      <w:r>
        <w:rPr>
          <w:b/>
          <w:sz w:val="21"/>
          <w:shd w:fill="D6E4F0" w:val="clear"/>
        </w:rPr>
        <w:t>易错提醒</w:t>
      </w:r>
    </w:p>
    <w:p>
      <w:pPr>
        <w:spacing w:line="360" w:lineRule="auto" w:after="40"/>
        <w:ind w:firstLine="420"/>
      </w:pPr>
      <w:r>
        <w:t>扩散融资</w:t>
      </w:r>
      <w:r>
        <w:rPr>
          <w:sz w:val="15"/>
          <w:vertAlign w:val="superscript"/>
        </w:rPr>
        <w:t>P269</w:t>
      </w:r>
      <w:r>
        <w:t>专指为获取核、化学、生物等大规模杀伤性武器或其运载工具而进行的资金转移和物资出口；恐怖融资</w:t>
      </w:r>
      <w:r>
        <w:rPr>
          <w:sz w:val="15"/>
          <w:vertAlign w:val="superscript"/>
        </w:rPr>
        <w:t>P36</w:t>
      </w:r>
      <w:r>
        <w:t>则指为实施以意识形态为目标的暴力行为而筹集资金。两者的核心区分在于资金最终用途——是支持WMD扩散，还是支持恐怖主义暴力活动。</w:t>
      </w:r>
    </w:p>
    <w:p>
      <w:pPr>
        <w:spacing w:line="360" w:lineRule="auto" w:after="120"/>
      </w:pPr>
      <w:r/>
    </w:p>
    <w:p>
      <w:pPr>
        <w:spacing w:line="360" w:lineRule="auto" w:after="40"/>
      </w:pPr>
      <w:r>
        <w:t>12. How do national risk assessments (NRAs) and sectoral risk assessments influence a financial institution's (FI's) internal AML/CFT risk assessment? ( )</w:t>
      </w:r>
    </w:p>
    <w:p>
      <w:pPr>
        <w:spacing w:line="360" w:lineRule="auto" w:after="20"/>
        <w:ind w:firstLine="283"/>
      </w:pPr>
      <w:r>
        <w:t>A. An FI must demonstrate that the risks identified in its AML/CFT risk assessment are aligned with the NRA and sectoral risk assessments and that these risks are managed effectively</w:t>
      </w:r>
    </w:p>
    <w:p>
      <w:pPr>
        <w:spacing w:line="360" w:lineRule="auto" w:after="20"/>
        <w:ind w:firstLine="283"/>
      </w:pPr>
      <w:r>
        <w:t>B. If a sectoral risk assessment is published, the FI must implement it directly across all subsidiaries and branches without modification</w:t>
      </w:r>
    </w:p>
    <w:p>
      <w:pPr>
        <w:spacing w:line="360" w:lineRule="auto" w:after="20"/>
        <w:ind w:firstLine="283"/>
      </w:pPr>
      <w:r>
        <w:t>C. An FI's AML/CFT risk assessment must be written and approved by the board of directors exactly as specified in the NRA and sectoral risk assessment</w:t>
      </w:r>
    </w:p>
    <w:p>
      <w:pPr>
        <w:spacing w:line="360" w:lineRule="auto" w:after="20"/>
        <w:ind w:firstLine="283"/>
      </w:pPr>
      <w:r>
        <w:t>D. An FI must strictly adopt the exact risk factors identified in the NRA and sectoral risk assessments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EWRA纳入NRA/SRA见解并定制化，而非照搬复制</w:t>
      </w:r>
    </w:p>
    <w:p>
      <w:pPr>
        <w:spacing w:before="120" w:after="40"/>
      </w:pPr>
      <w:r>
        <w:rPr>
          <w:b/>
          <w:sz w:val="21"/>
          <w:shd w:fill="D6E4F0" w:val="clear"/>
        </w:rPr>
        <w:t>核心解析</w:t>
      </w:r>
    </w:p>
    <w:p>
      <w:pPr>
        <w:spacing w:line="360" w:lineRule="auto" w:after="40"/>
        <w:ind w:firstLine="420"/>
      </w:pPr>
      <w:r>
        <w:t>企业全面风险评估（EWRA）应纳入国家风险评估（NRA）和行业风险评估（SRA）所识别的风险考量</w:t>
      </w:r>
      <w:r>
        <w:rPr>
          <w:sz w:val="15"/>
          <w:vertAlign w:val="superscript"/>
        </w:rPr>
        <w:t>P268</w:t>
      </w:r>
      <w:r>
        <w:t>，同时EWRA是根据组织自身情况定制的，会考虑客户、地域、产品等特征</w:t>
      </w:r>
      <w:r>
        <w:rPr>
          <w:sz w:val="15"/>
          <w:vertAlign w:val="superscript"/>
        </w:rPr>
        <w:t>P268</w:t>
      </w:r>
      <w:r>
        <w:t>。不存在通用的风险评估方法</w:t>
      </w:r>
      <w:r>
        <w:rPr>
          <w:sz w:val="15"/>
          <w:vertAlign w:val="superscript"/>
        </w:rPr>
        <w:t>P158</w:t>
      </w:r>
      <w:r>
        <w:t>。由此可推断，金融机构的内部风险评估并非机械复制NRA/SRA，而是需与之保持一致（aligned），并证明这些风险得到了有效管理。选项A直接吻合这一要求：既要体现与宏观风险评估的关联，又要彰显机构自主管理的责任。</w:t>
      </w:r>
    </w:p>
    <w:p>
      <w:pPr>
        <w:spacing w:before="120" w:after="40"/>
      </w:pPr>
      <w:r>
        <w:rPr>
          <w:b/>
          <w:sz w:val="21"/>
          <w:shd w:fill="D6E4F0" w:val="clear"/>
        </w:rPr>
        <w:t>教材原句</w:t>
      </w:r>
    </w:p>
    <w:p>
      <w:pPr>
        <w:spacing w:line="360" w:lineRule="auto" w:after="40"/>
        <w:ind w:firstLine="420"/>
      </w:pPr>
      <w:r>
        <w:t>"EWRAs should include consideration of the risks identified in the NRAs and SRAs for any jurisdiction in which they do business or plan to do business."</w:t>
      </w:r>
    </w:p>
    <w:p>
      <w:pPr>
        <w:spacing w:before="120" w:after="40"/>
      </w:pPr>
      <w:r>
        <w:rPr>
          <w:b/>
          <w:sz w:val="21"/>
          <w:shd w:fill="D6E4F0" w:val="clear"/>
        </w:rPr>
        <w:t>B项错误</w:t>
      </w:r>
    </w:p>
    <w:p>
      <w:pPr>
        <w:spacing w:line="360" w:lineRule="auto" w:after="40"/>
        <w:ind w:firstLine="420"/>
      </w:pPr>
      <w:r>
        <w:t>该选项要求“直接将其应用于所有子公司和分支机构，不得进行任何修改”。教材指出全球性组织的EWRA应基于统一方法论灵活协调，允许子公司纳入本地风险要素</w:t>
      </w:r>
      <w:r>
        <w:rPr>
          <w:sz w:val="15"/>
          <w:vertAlign w:val="superscript"/>
        </w:rPr>
        <w:t>P275</w:t>
      </w:r>
      <w:r>
        <w:t>，而非不加修改地强制套用。相比之下，正确项A的“保持一致”（aligned）更贴合这种需兼顾本地化定制的风险为本方法。</w:t>
      </w:r>
    </w:p>
    <w:p>
      <w:pPr>
        <w:spacing w:before="120" w:after="40"/>
      </w:pPr>
      <w:r>
        <w:rPr>
          <w:b/>
          <w:sz w:val="21"/>
          <w:shd w:fill="D6E4F0" w:val="clear"/>
        </w:rPr>
        <w:t>C项错误</w:t>
      </w:r>
    </w:p>
    <w:p>
      <w:pPr>
        <w:spacing w:line="360" w:lineRule="auto" w:after="40"/>
        <w:ind w:firstLine="420"/>
      </w:pPr>
      <w:r>
        <w:t>该选项强调“按照……确切规定的内容以书面形式完成，并由董事会批准”。教材中需董事会批准的是风险偏好声明（RAS），而非EWRA本身</w:t>
      </w:r>
      <w:r>
        <w:rPr>
          <w:sz w:val="15"/>
          <w:vertAlign w:val="superscript"/>
        </w:rPr>
        <w:t>P271</w:t>
      </w:r>
      <w:r>
        <w:t>。EWRA须纳入NRA/SRA的见解，但应根据机构自身特征定制</w:t>
      </w:r>
      <w:r>
        <w:rPr>
          <w:sz w:val="15"/>
          <w:vertAlign w:val="superscript"/>
        </w:rPr>
        <w:t>P268</w:t>
      </w:r>
      <w:r>
        <w:t>，“exactly as specified”的硬性要求不如选项A中“aligned”那样与教材的定制化原则匹配。</w:t>
      </w:r>
    </w:p>
    <w:p>
      <w:pPr>
        <w:spacing w:before="120" w:after="40"/>
      </w:pPr>
      <w:r>
        <w:rPr>
          <w:b/>
          <w:sz w:val="21"/>
          <w:shd w:fill="D6E4F0" w:val="clear"/>
        </w:rPr>
        <w:t>D项错误</w:t>
      </w:r>
    </w:p>
    <w:p>
      <w:pPr>
        <w:spacing w:line="360" w:lineRule="auto" w:after="40"/>
        <w:ind w:firstLine="420"/>
      </w:pPr>
      <w:r>
        <w:t>该选项要求“严格采用国家风险评估和行业风险评估中确定的确切风险因素”。教材明确不存在通用的风险评估方法</w:t>
      </w:r>
      <w:r>
        <w:rPr>
          <w:sz w:val="15"/>
          <w:vertAlign w:val="superscript"/>
        </w:rPr>
        <w:t>P158</w:t>
      </w:r>
      <w:r>
        <w:t>，且EWRA需根据组织自身情况定制</w:t>
      </w:r>
      <w:r>
        <w:rPr>
          <w:sz w:val="15"/>
          <w:vertAlign w:val="superscript"/>
        </w:rPr>
        <w:t>P268</w:t>
      </w:r>
      <w:r>
        <w:t>。直接采纳“确切风险因素”过于僵化，不如A项的“保持一致”更能体现机构在参考宏观评估基础上的自主裁量。</w:t>
      </w:r>
    </w:p>
    <w:p>
      <w:pPr>
        <w:spacing w:before="120" w:after="40"/>
      </w:pPr>
      <w:r>
        <w:rPr>
          <w:b/>
          <w:sz w:val="21"/>
          <w:shd w:fill="D6E4F0" w:val="clear"/>
        </w:rPr>
        <w:t>易错提醒</w:t>
      </w:r>
    </w:p>
    <w:p>
      <w:pPr>
        <w:spacing w:line="360" w:lineRule="auto" w:after="40"/>
        <w:ind w:firstLine="420"/>
      </w:pPr>
      <w:r>
        <w:t>EWRA需“纳入”（include consideration of）NRA/SRA所识别的风险，但并非照搬其全部因素。EWRA是根据组织自身客户、地域、产品等定制的</w:t>
      </w:r>
      <w:r>
        <w:rPr>
          <w:sz w:val="15"/>
          <w:vertAlign w:val="superscript"/>
        </w:rPr>
        <w:t>P268</w:t>
      </w:r>
      <w:r>
        <w:t>，所以金融机构应证明其风险评估与NRA/SRA相一致（aligned），而非机械复制（exactly as specified或strictly adopt）。二者的核心区别在于：是否允许机构根据自身情况调整风险因素与权重。</w:t>
      </w:r>
    </w:p>
    <w:p>
      <w:pPr>
        <w:spacing w:line="360" w:lineRule="auto" w:after="120"/>
      </w:pPr>
      <w:r/>
    </w:p>
    <w:p>
      <w:pPr>
        <w:spacing w:line="360" w:lineRule="auto" w:after="40"/>
      </w:pPr>
      <w:r>
        <w:t>13. A national risk assessment (NRA) can inform the risk-based approach (RBA) in an organization's anti-financial crime (AFC) compliance program by: (Choose Two.) ( )</w:t>
      </w:r>
    </w:p>
    <w:p>
      <w:pPr>
        <w:spacing w:line="360" w:lineRule="auto" w:after="20"/>
        <w:ind w:firstLine="283"/>
      </w:pPr>
      <w:r>
        <w:t>A. Helping to identify high-risk sectors that require enhanced due diligence (EDD).</w:t>
      </w:r>
    </w:p>
    <w:p>
      <w:pPr>
        <w:spacing w:line="360" w:lineRule="auto" w:after="20"/>
        <w:ind w:firstLine="283"/>
      </w:pPr>
      <w:r>
        <w:t>B. Eliminating the need for sectoral risk assessments within the organization.</w:t>
      </w:r>
    </w:p>
    <w:p>
      <w:pPr>
        <w:spacing w:line="360" w:lineRule="auto" w:after="20"/>
        <w:ind w:firstLine="283"/>
      </w:pPr>
      <w:r>
        <w:t>C. Guiding the allocation of resources for mitigating financial crime risks.</w:t>
      </w:r>
    </w:p>
    <w:p>
      <w:pPr>
        <w:spacing w:line="360" w:lineRule="auto" w:after="20"/>
        <w:ind w:firstLine="283"/>
      </w:pPr>
      <w:r>
        <w:t>D. Requiring all organizations to apply standardized measures.</w:t>
      </w:r>
    </w:p>
    <w:p>
      <w:pPr>
        <w:spacing w:line="360" w:lineRule="auto" w:after="20"/>
        <w:ind w:firstLine="283"/>
      </w:pPr>
      <w:r>
        <w:t>E. Automatically reducing the organization's responsibility for conducting its own risk assessment.</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NRA识别高风险行业并指导RBA资源配置</w:t>
      </w:r>
    </w:p>
    <w:p>
      <w:pPr>
        <w:spacing w:before="120" w:after="40"/>
      </w:pPr>
      <w:r>
        <w:rPr>
          <w:b/>
          <w:sz w:val="21"/>
          <w:shd w:fill="D6E4F0" w:val="clear"/>
        </w:rPr>
        <w:t>核心解析</w:t>
      </w:r>
    </w:p>
    <w:p>
      <w:pPr>
        <w:spacing w:line="360" w:lineRule="auto" w:after="40"/>
        <w:ind w:firstLine="420"/>
      </w:pPr>
      <w:r>
        <w:t>国家风险评估（NRA）识别国家层面的洗钱与恐怖融资威胁及风险，审查高风险行业</w:t>
      </w:r>
      <w:r>
        <w:rPr>
          <w:sz w:val="15"/>
          <w:vertAlign w:val="superscript"/>
        </w:rPr>
        <w:t>P268</w:t>
      </w:r>
      <w:r>
        <w:t>。风险为本方法（RBA）要求根据风险暴露程度优先排序并采取适当措施</w:t>
      </w:r>
      <w:r>
        <w:rPr>
          <w:sz w:val="15"/>
          <w:vertAlign w:val="superscript"/>
        </w:rPr>
        <w:t>P267</w:t>
      </w:r>
      <w:r>
        <w:t>，其核心目标之一是确保资源有效配置以缓解高风险领域</w:t>
      </w:r>
      <w:r>
        <w:rPr>
          <w:sz w:val="15"/>
          <w:vertAlign w:val="superscript"/>
        </w:rPr>
        <w:t>P197</w:t>
      </w:r>
      <w:r>
        <w:t>。当NRA输出高风险行业信息后，组织的AFC合规计划便可据此：一、针对这些行业开展强化尽职调查（EDD）；二、优先将防范资源投向风险更高的领域。因此，NRA通过“识别风险领域”和“指引资源方向”两个渠道影响组织的RBA。</w:t>
      </w:r>
    </w:p>
    <w:p>
      <w:pPr>
        <w:spacing w:before="120" w:after="40"/>
      </w:pPr>
      <w:r>
        <w:rPr>
          <w:b/>
          <w:sz w:val="21"/>
          <w:shd w:fill="D6E4F0" w:val="clear"/>
        </w:rPr>
        <w:t>教材原句</w:t>
      </w:r>
    </w:p>
    <w:p>
      <w:pPr>
        <w:spacing w:line="360" w:lineRule="auto" w:after="40"/>
        <w:ind w:firstLine="420"/>
      </w:pPr>
      <w:r>
        <w:t>"NRAs identify national-level money laundering and terror financing threats and risks. These assessments review sectors and areas with higher risks."</w:t>
      </w:r>
    </w:p>
    <w:p>
      <w:pPr>
        <w:spacing w:before="120" w:after="40"/>
      </w:pPr>
      <w:r>
        <w:rPr>
          <w:b/>
          <w:sz w:val="21"/>
          <w:shd w:fill="D6E4F0" w:val="clear"/>
        </w:rPr>
        <w:t>B项错误</w:t>
      </w:r>
    </w:p>
    <w:p>
      <w:pPr>
        <w:spacing w:line="360" w:lineRule="auto" w:after="40"/>
        <w:ind w:firstLine="420"/>
      </w:pPr>
      <w:r>
        <w:t>NRA提供的是国家层面的风险图景，而组织内部的行业/部门风险评估（SRA或作为企业全面风险评估的一部分）仍需结合自身客户、地域、产品特征进行。教材要求企业全面风险评估纳入NRA和SRA的见解</w:t>
      </w:r>
      <w:r>
        <w:rPr>
          <w:sz w:val="15"/>
          <w:vertAlign w:val="superscript"/>
        </w:rPr>
        <w:t>P268</w:t>
      </w:r>
      <w:r>
        <w:t>，可见NRA是信息输入而非替代，消除内部评估需求的匹配度远低于“识别高风险行业”。</w:t>
      </w:r>
    </w:p>
    <w:p>
      <w:pPr>
        <w:spacing w:before="120" w:after="40"/>
      </w:pPr>
      <w:r>
        <w:rPr>
          <w:b/>
          <w:sz w:val="21"/>
          <w:shd w:fill="D6E4F0" w:val="clear"/>
        </w:rPr>
        <w:t>D项错误</w:t>
      </w:r>
    </w:p>
    <w:p>
      <w:pPr>
        <w:spacing w:line="360" w:lineRule="auto" w:after="40"/>
        <w:ind w:firstLine="420"/>
      </w:pPr>
      <w:r>
        <w:t>RBA的本质是根据实体自身的风险暴露水平定制措施，教材明确指出“不存在通用的风险评估方法”</w:t>
      </w:r>
      <w:r>
        <w:rPr>
          <w:sz w:val="15"/>
          <w:vertAlign w:val="superscript"/>
        </w:rPr>
        <w:t>P158</w:t>
      </w:r>
      <w:r>
        <w:t>。NRA提供的是国家层面的风险信息，而非向所有组织强制推行一套标准化措施，选项D与RAB的灵活性原则相悖，不如A和C直接体现NRA的告知功能。</w:t>
      </w:r>
    </w:p>
    <w:p>
      <w:pPr>
        <w:spacing w:before="120" w:after="40"/>
      </w:pPr>
      <w:r>
        <w:rPr>
          <w:b/>
          <w:sz w:val="21"/>
          <w:shd w:fill="D6E4F0" w:val="clear"/>
        </w:rPr>
        <w:t>E项错误</w:t>
      </w:r>
    </w:p>
    <w:p>
      <w:pPr>
        <w:spacing w:line="360" w:lineRule="auto" w:after="40"/>
        <w:ind w:firstLine="420"/>
      </w:pPr>
      <w:r>
        <w:t>风险为本方法要求组织自行识别、评估和理解面临的洗钱/恐怖融资风险并采取缓解措施</w:t>
      </w:r>
      <w:r>
        <w:rPr>
          <w:sz w:val="15"/>
          <w:vertAlign w:val="superscript"/>
        </w:rPr>
        <w:t>P270</w:t>
      </w:r>
      <w:r>
        <w:t>。NRA作为外部参考有助于组织履行这一义务，但并不会自动减轻或转移组织自行评估的责任；相反，机构需定期独立评估内部风险控制的有效性</w:t>
      </w:r>
      <w:r>
        <w:rPr>
          <w:sz w:val="15"/>
          <w:vertAlign w:val="superscript"/>
        </w:rPr>
        <w:t>P272</w:t>
      </w:r>
      <w:r>
        <w:t>。选项E所描述的“自动减轻责任”与教材对组织自身风险评估义务的要求不吻合，正确项A和C更直接对应NRA的辅助角色。</w:t>
      </w:r>
    </w:p>
    <w:p>
      <w:pPr>
        <w:spacing w:before="120" w:after="40"/>
      </w:pPr>
      <w:r>
        <w:rPr>
          <w:b/>
          <w:sz w:val="21"/>
          <w:shd w:fill="D6E4F0" w:val="clear"/>
        </w:rPr>
        <w:t>易错提醒</w:t>
      </w:r>
    </w:p>
    <w:p>
      <w:pPr>
        <w:spacing w:line="360" w:lineRule="auto" w:after="40"/>
        <w:ind w:firstLine="420"/>
      </w:pPr>
      <w:r>
        <w:t>NRA是外部输入，不能替代组织自身的风险评估。企业需将NRA和行业风险评估的见解纳入企业全面风险评估（EWRA），而非消除内部评估</w:t>
      </w:r>
      <w:r>
        <w:rPr>
          <w:sz w:val="15"/>
          <w:vertAlign w:val="superscript"/>
        </w:rPr>
        <w:t>P268</w:t>
      </w:r>
      <w:r>
        <w:t>。混淆NRA与EWRA的层次容易误选B或E。</w:t>
      </w:r>
    </w:p>
    <w:p>
      <w:pPr>
        <w:spacing w:line="360" w:lineRule="auto" w:after="120"/>
      </w:pPr>
      <w:r/>
    </w:p>
    <w:p>
      <w:pPr>
        <w:spacing w:line="360" w:lineRule="auto" w:after="40"/>
      </w:pPr>
      <w:r>
        <w:t>14. Which of the following are part of a risk-based approach? (Choose three.) ( )</w:t>
      </w:r>
    </w:p>
    <w:p>
      <w:pPr>
        <w:spacing w:line="360" w:lineRule="auto" w:after="20"/>
        <w:ind w:firstLine="283"/>
      </w:pPr>
      <w:r>
        <w:t>A. Performing a comprehensive risk assessment to identify customer, transaction, and geographic risks.</w:t>
      </w:r>
    </w:p>
    <w:p>
      <w:pPr>
        <w:spacing w:line="360" w:lineRule="auto" w:after="20"/>
        <w:ind w:firstLine="283"/>
      </w:pPr>
      <w:r>
        <w:t>B. Focusing monitoring primarily on previously flagged customers while using standard controls for others.</w:t>
      </w:r>
    </w:p>
    <w:p>
      <w:pPr>
        <w:spacing w:line="360" w:lineRule="auto" w:after="20"/>
        <w:ind w:firstLine="283"/>
      </w:pPr>
      <w:r>
        <w:t>C. Choosing and applying effective controls that align with the identified risk levels.</w:t>
      </w:r>
    </w:p>
    <w:p>
      <w:pPr>
        <w:spacing w:line="360" w:lineRule="auto" w:after="20"/>
        <w:ind w:firstLine="283"/>
      </w:pPr>
      <w:r>
        <w:t>D. Determining detailed risk profiles for customers based on their activities and relationships.</w:t>
      </w:r>
    </w:p>
    <w:p>
      <w:pPr>
        <w:spacing w:line="360" w:lineRule="auto" w:after="20"/>
        <w:ind w:firstLine="283"/>
      </w:pPr>
      <w:r>
        <w:t>E. Allocating resources evenly among all customer segments to ensure fairness.</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风险为本方法的核心：识别风险、确定客户风险概况、选择相称控制</w:t>
      </w:r>
    </w:p>
    <w:p>
      <w:pPr>
        <w:spacing w:before="120" w:after="40"/>
      </w:pPr>
      <w:r>
        <w:rPr>
          <w:b/>
          <w:sz w:val="21"/>
          <w:shd w:fill="D6E4F0" w:val="clear"/>
        </w:rPr>
        <w:t>核心解析</w:t>
      </w:r>
    </w:p>
    <w:p>
      <w:pPr>
        <w:spacing w:line="360" w:lineRule="auto" w:after="40"/>
        <w:ind w:firstLine="420"/>
      </w:pPr>
      <w:r>
        <w:t>风险为本方法（RBA）是识别、评估和理解洗钱/恐怖融资风险并采取适当缓解措施的过程</w:t>
      </w:r>
      <w:r>
        <w:rPr>
          <w:sz w:val="15"/>
          <w:vertAlign w:val="superscript"/>
        </w:rPr>
        <w:t>P270</w:t>
      </w:r>
      <w:r>
        <w:t>。选项A“进行全面的风险评估，以识别客户、交易和地域风险”对应“识别风险”这一起点；选项D“根据客户的活动和关系确定其详细的风险概况”属于评估和理解具体客户风险，而准确判断客户金融犯罪风险正是RBA的重要前提</w:t>
      </w:r>
      <w:r>
        <w:rPr>
          <w:sz w:val="15"/>
          <w:vertAlign w:val="superscript"/>
        </w:rPr>
        <w:t>P271</w:t>
      </w:r>
      <w:r>
        <w:t>；选项C“选择并应用与所识别风险等级相适应的有效控制措施”则直接体现RBA的核心原则——应对措施应与风险成比例</w:t>
      </w:r>
      <w:r>
        <w:rPr>
          <w:sz w:val="15"/>
          <w:vertAlign w:val="superscript"/>
        </w:rPr>
        <w:t>P147</w:t>
      </w:r>
      <w:r>
        <w:t>，即采取相称的缓解措施。三者分别从风险识别、客户风险评估、控制措施选择三个层面完整覆盖RBA的定义框架，因此都属于基于风险的方法。</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B项错误</w:t>
      </w:r>
    </w:p>
    <w:p>
      <w:pPr>
        <w:spacing w:line="360" w:lineRule="auto" w:after="40"/>
        <w:ind w:firstLine="420"/>
      </w:pPr>
      <w:r>
        <w:t>RBA要求根据客户当前的风险水平动态分配监控资源——高风险客户强化监控，低风险客户可采用简化措施</w:t>
      </w:r>
      <w:r>
        <w:rPr>
          <w:sz w:val="15"/>
          <w:vertAlign w:val="superscript"/>
        </w:rPr>
        <w:t>P270</w:t>
      </w:r>
      <w:r>
        <w:t>，而不仅依赖“之前已标记”这一历史状态。若仅重点监控已标记客户而其他人一律标准控制，会忽略风险状况的变化，与RBA持续识别、评估风险并相应调整措施的动态本质相比，匹配度不如A、C、D直接。</w:t>
      </w:r>
    </w:p>
    <w:p>
      <w:pPr>
        <w:spacing w:before="120" w:after="40"/>
      </w:pPr>
      <w:r>
        <w:rPr>
          <w:b/>
          <w:sz w:val="21"/>
          <w:shd w:fill="D6E4F0" w:val="clear"/>
        </w:rPr>
        <w:t>E项错误</w:t>
      </w:r>
    </w:p>
    <w:p>
      <w:pPr>
        <w:spacing w:line="360" w:lineRule="auto" w:after="40"/>
        <w:ind w:firstLine="420"/>
      </w:pPr>
      <w:r>
        <w:t>RBA的定义明确要求识别最高风险并优先分配资源以应对风险</w:t>
      </w:r>
      <w:r>
        <w:rPr>
          <w:sz w:val="15"/>
          <w:vertAlign w:val="superscript"/>
        </w:rPr>
        <w:t>P381</w:t>
      </w:r>
      <w:r>
        <w:t>，而非平均分配资源以确保公平性。平均主义直接违背了资源与风险挂钩的比例原则，与正确项相比，完全偏离了RBA的核心逻辑。</w:t>
      </w:r>
    </w:p>
    <w:p>
      <w:pPr>
        <w:spacing w:before="120" w:after="40"/>
      </w:pPr>
      <w:r>
        <w:rPr>
          <w:b/>
          <w:sz w:val="21"/>
          <w:shd w:fill="D6E4F0" w:val="clear"/>
        </w:rPr>
        <w:t>易错提醒</w:t>
      </w:r>
    </w:p>
    <w:p>
      <w:pPr>
        <w:spacing w:line="360" w:lineRule="auto" w:after="40"/>
        <w:ind w:firstLine="420"/>
      </w:pPr>
      <w:r>
        <w:t>区分：RBA的动态性 vs. 静态历史标记。RBA基于当前风险评估持续调整控制力度，过去的标记只是参考，不能替代对风险变化的持续监控；资源应优先投向高风险领域，而非平均分配或仅固守历史标签。</w:t>
      </w:r>
    </w:p>
    <w:p>
      <w:pPr>
        <w:spacing w:line="360" w:lineRule="auto" w:after="120"/>
      </w:pPr>
      <w:r/>
    </w:p>
    <w:p>
      <w:pPr>
        <w:spacing w:line="360" w:lineRule="auto" w:after="40"/>
      </w:pPr>
      <w:r>
        <w:t>15. Which of the following are part of a risk-based approach? (Select Three.) ( )</w:t>
      </w:r>
    </w:p>
    <w:p>
      <w:pPr>
        <w:spacing w:line="360" w:lineRule="auto" w:after="20"/>
        <w:ind w:firstLine="283"/>
      </w:pPr>
      <w:r>
        <w:t>A. Determining detailed risk profiles for customers based on their activities and relationships.</w:t>
      </w:r>
    </w:p>
    <w:p>
      <w:pPr>
        <w:spacing w:line="360" w:lineRule="auto" w:after="20"/>
        <w:ind w:firstLine="283"/>
      </w:pPr>
      <w:r>
        <w:t>B. Focusing monitoring primarily on previously flagged customers while using standard controls for others.</w:t>
      </w:r>
    </w:p>
    <w:p>
      <w:pPr>
        <w:spacing w:line="360" w:lineRule="auto" w:after="20"/>
        <w:ind w:firstLine="283"/>
      </w:pPr>
      <w:r>
        <w:t>C. Choosing and applying effective controls that align with the identified risk levels.</w:t>
      </w:r>
    </w:p>
    <w:p>
      <w:pPr>
        <w:spacing w:line="360" w:lineRule="auto" w:after="20"/>
        <w:ind w:firstLine="283"/>
      </w:pPr>
      <w:r>
        <w:t>D. Performing a comprehensive risk assessment to identify customer, transaction, and geographic risks.</w:t>
      </w:r>
    </w:p>
    <w:p>
      <w:pPr>
        <w:spacing w:line="360" w:lineRule="auto" w:after="20"/>
        <w:ind w:firstLine="283"/>
      </w:pPr>
      <w:r>
        <w:t>E. Allocating resources evenly among all customer segments to ensure fairness.</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RBA三核心：识别风险、评估风险、相称控制</w:t>
      </w:r>
    </w:p>
    <w:p>
      <w:pPr>
        <w:spacing w:before="120" w:after="40"/>
      </w:pPr>
      <w:r>
        <w:rPr>
          <w:b/>
          <w:sz w:val="21"/>
          <w:shd w:fill="D6E4F0" w:val="clear"/>
        </w:rPr>
        <w:t>核心解析</w:t>
      </w:r>
    </w:p>
    <w:p>
      <w:pPr>
        <w:spacing w:line="360" w:lineRule="auto" w:after="40"/>
        <w:ind w:firstLine="420"/>
      </w:pPr>
      <w:r>
        <w:t>风险为本方法（RBA）指识别、评估和理解洗钱/恐怖融资风险并采取适当缓解措施的过程</w:t>
      </w:r>
      <w:r>
        <w:rPr>
          <w:sz w:val="15"/>
          <w:vertAlign w:val="superscript"/>
        </w:rPr>
        <w:t>P270</w:t>
      </w:r>
      <w:r>
        <w:t>，确保应对措施与识别出的风险成比例</w:t>
      </w:r>
      <w:r>
        <w:rPr>
          <w:sz w:val="15"/>
          <w:vertAlign w:val="superscript"/>
        </w:rPr>
        <w:t>P147</w:t>
      </w:r>
      <w:r>
        <w:t>，并优先对高风险领域配置资源</w:t>
      </w:r>
      <w:r>
        <w:rPr>
          <w:sz w:val="15"/>
          <w:vertAlign w:val="superscript"/>
        </w:rPr>
        <w:t>P381</w:t>
      </w:r>
      <w:r>
        <w:t>。其流程包括识别风险、评估风险、制定控制策略三个环节</w:t>
      </w:r>
      <w:r>
        <w:rPr>
          <w:sz w:val="15"/>
          <w:vertAlign w:val="superscript"/>
        </w:rPr>
        <w:t>P271</w:t>
      </w:r>
      <w:r>
        <w:t>。选项A“根据客户的活动和关系确定其详细的风险特征”对应评估环节——教材指出应根据交易行为、行业类型和司法管辖区风险对客户进行风险评级</w:t>
      </w:r>
      <w:r>
        <w:rPr>
          <w:sz w:val="15"/>
          <w:vertAlign w:val="superscript"/>
        </w:rPr>
        <w:t>P301</w:t>
      </w:r>
      <w:r>
        <w:t>。选项D“进行全面的风险评估，以识别客户、交易和地域风险”对应识别环节——教材要求机构基于客户、产品和交易风险定制政策</w:t>
      </w:r>
      <w:r>
        <w:rPr>
          <w:sz w:val="15"/>
          <w:vertAlign w:val="superscript"/>
        </w:rPr>
        <w:t>P292</w:t>
      </w:r>
      <w:r>
        <w:t>，并进行客户和交易风险评估以识别高风险客户</w:t>
      </w:r>
      <w:r>
        <w:rPr>
          <w:sz w:val="15"/>
          <w:vertAlign w:val="superscript"/>
        </w:rPr>
        <w:t>P254</w:t>
      </w:r>
      <w:r>
        <w:t>。选项C“选择并应用与所识别风险等级相适应的有效控制措施”对应控制环节——一旦识别固有风险，必须应用控制措施将其降至可接受水平</w:t>
      </w:r>
      <w:r>
        <w:rPr>
          <w:sz w:val="15"/>
          <w:vertAlign w:val="superscript"/>
        </w:rPr>
        <w:t>P278</w:t>
      </w:r>
      <w:r>
        <w:t>，且措施应与风险成比例</w:t>
      </w:r>
      <w:r>
        <w:rPr>
          <w:sz w:val="15"/>
          <w:vertAlign w:val="superscript"/>
        </w:rPr>
        <w:t>P147</w:t>
      </w:r>
      <w:r>
        <w:t>。三项完整覆盖RBA的识别-评估-控制闭环。</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B项错误</w:t>
      </w:r>
    </w:p>
    <w:p>
      <w:pPr>
        <w:spacing w:line="360" w:lineRule="auto" w:after="40"/>
        <w:ind w:firstLine="420"/>
      </w:pPr>
      <w:r>
        <w:t>按“已标记”状态分配监控资源，不如按风险水平分配更直接匹配RBA定义。教材强调RBA优先对高风险客户投入资源</w:t>
      </w:r>
      <w:r>
        <w:rPr>
          <w:sz w:val="15"/>
          <w:vertAlign w:val="superscript"/>
        </w:rPr>
        <w:t>P218</w:t>
      </w:r>
      <w:r>
        <w:t>，已标记客户不一定等于高风险客户，未标记客户也可能存在需关注的风险。</w:t>
      </w:r>
    </w:p>
    <w:p>
      <w:pPr>
        <w:spacing w:before="120" w:after="40"/>
      </w:pPr>
      <w:r>
        <w:rPr>
          <w:b/>
          <w:sz w:val="21"/>
          <w:shd w:fill="D6E4F0" w:val="clear"/>
        </w:rPr>
        <w:t>E项错误</w:t>
      </w:r>
    </w:p>
    <w:p>
      <w:pPr>
        <w:spacing w:line="360" w:lineRule="auto" w:after="40"/>
        <w:ind w:firstLine="420"/>
      </w:pPr>
      <w:r>
        <w:t>平均分配资源与教材对RBA的定义方向相反——RBA识别最高风险并优先分配资源</w:t>
      </w:r>
      <w:r>
        <w:rPr>
          <w:sz w:val="15"/>
          <w:vertAlign w:val="superscript"/>
        </w:rPr>
        <w:t>P381</w:t>
      </w:r>
      <w:r>
        <w:t>。题干中A、C、D均按风险水平差异化处理，更吻合RBA的核心逻辑。</w:t>
      </w:r>
    </w:p>
    <w:p>
      <w:pPr>
        <w:spacing w:before="120" w:after="40"/>
      </w:pPr>
      <w:r>
        <w:rPr>
          <w:b/>
          <w:sz w:val="21"/>
          <w:shd w:fill="D6E4F0" w:val="clear"/>
        </w:rPr>
        <w:t>易错提醒</w:t>
      </w:r>
    </w:p>
    <w:p>
      <w:pPr>
        <w:spacing w:line="360" w:lineRule="auto" w:after="40"/>
        <w:ind w:firstLine="420"/>
      </w:pPr>
      <w:r>
        <w:t>RBA的资源分配依据是风险水平，而非“已标记”状态或平均主义。已标记客户可能因误报而风险不高，未标记客户可能因新兴风险而需更多关注。平均分配看似公平，但RBA框架下的公平是风险越高投入越多。判断类似选项时，看资源是否按风险水平差异化配置，而非按固定标签或一刀切分配。</w:t>
      </w:r>
    </w:p>
    <w:p>
      <w:pPr>
        <w:spacing w:line="360" w:lineRule="auto" w:after="120"/>
      </w:pPr>
      <w:r/>
    </w:p>
    <w:p>
      <w:pPr>
        <w:spacing w:line="360" w:lineRule="auto" w:after="40"/>
      </w:pPr>
      <w:r>
        <w:t>16. What are the most effective measures to boost risk appetite awareness across an organization after a risk appetite has been set and a risk appetite statement (RAS) has been drafted? (Select Three.) ( )</w:t>
      </w:r>
    </w:p>
    <w:p>
      <w:pPr>
        <w:spacing w:line="360" w:lineRule="auto" w:after="20"/>
        <w:ind w:firstLine="283"/>
      </w:pPr>
      <w:r>
        <w:t>A. Provide training to staff so they understand the role risk appetite and its limits play in the safe conduct of business</w:t>
      </w:r>
    </w:p>
    <w:p>
      <w:pPr>
        <w:spacing w:line="360" w:lineRule="auto" w:after="20"/>
        <w:ind w:firstLine="283"/>
      </w:pPr>
      <w:r>
        <w:t>B. Train all managers on the importance and benefits of good risk-taking</w:t>
      </w:r>
    </w:p>
    <w:p>
      <w:pPr>
        <w:spacing w:line="360" w:lineRule="auto" w:after="20"/>
        <w:ind w:firstLine="283"/>
      </w:pPr>
      <w:r>
        <w:t>C. Embed the risk appetite into everyday processes and governance</w:t>
      </w:r>
    </w:p>
    <w:p>
      <w:pPr>
        <w:spacing w:line="360" w:lineRule="auto" w:after="20"/>
        <w:ind w:firstLine="283"/>
      </w:pPr>
      <w:r>
        <w:t>D. Describe risk controls for business colleagues</w:t>
      </w:r>
    </w:p>
    <w:p>
      <w:pPr>
        <w:spacing w:line="360" w:lineRule="auto" w:after="20"/>
        <w:ind w:firstLine="283"/>
      </w:pPr>
      <w:r>
        <w:t>E. Integrate misalignment with risk appetite into internal reporting procedures</w:t>
      </w:r>
    </w:p>
    <w:p>
      <w:pPr>
        <w:spacing w:line="360" w:lineRule="auto" w:after="40"/>
      </w:pPr>
      <w:r>
        <w:t>答案：A、C、E</w:t>
      </w:r>
    </w:p>
    <w:p>
      <w:pPr>
        <w:spacing w:line="360" w:lineRule="auto" w:after="40"/>
      </w:pPr>
      <w:r>
        <w:t>解析：</w:t>
      </w:r>
    </w:p>
    <w:p>
      <w:pPr>
        <w:spacing w:before="120" w:after="40"/>
      </w:pPr>
      <w:r>
        <w:rPr>
          <w:b/>
          <w:sz w:val="21"/>
          <w:shd w:fill="D6E4F0" w:val="clear"/>
        </w:rPr>
        <w:t>考点</w:t>
      </w:r>
    </w:p>
    <w:p>
      <w:pPr>
        <w:spacing w:line="360" w:lineRule="auto" w:after="40"/>
        <w:ind w:firstLine="420"/>
      </w:pPr>
      <w:r>
        <w:t>从认知、嵌入、监督三个层面将风险偏好声明落地为组织意识</w:t>
      </w:r>
    </w:p>
    <w:p>
      <w:pPr>
        <w:spacing w:before="120" w:after="40"/>
      </w:pPr>
      <w:r>
        <w:rPr>
          <w:b/>
          <w:sz w:val="21"/>
          <w:shd w:fill="D6E4F0" w:val="clear"/>
        </w:rPr>
        <w:t>核心解析</w:t>
      </w:r>
    </w:p>
    <w:p>
      <w:pPr>
        <w:spacing w:line="360" w:lineRule="auto" w:after="40"/>
        <w:ind w:firstLine="420"/>
      </w:pPr>
      <w:r>
        <w:t>风险偏好声明被编入政策和程序</w:t>
      </w:r>
      <w:r>
        <w:rPr>
          <w:sz w:val="15"/>
          <w:vertAlign w:val="superscript"/>
        </w:rPr>
        <w:t>P270</w:t>
      </w:r>
      <w:r>
        <w:t>，它指导行为、决策和风险管理实践</w:t>
      </w:r>
      <w:r>
        <w:rPr>
          <w:sz w:val="15"/>
          <w:vertAlign w:val="superscript"/>
        </w:rPr>
        <w:t>P243</w:t>
      </w:r>
      <w:r>
        <w:t>。本题问的是起草声明后“最能提升整个组织意识”的措施，判断标准是：该措施能否让风险偏好从纸面文件变成组织日常运作的一部分。选项A通过培训让员工理解风险偏好限额在安全开展业务中的作用，解决的是“认知”层面——员工先要知道边界在哪。选项C将风险偏好嵌入日常流程和治理，解决的是“执行”层面——让边界融入决策和操作。选项E将与风险偏好的偏离纳入内部报告程序，解决的是“监督”层面——持续监测是否越界</w:t>
      </w:r>
      <w:r>
        <w:rPr>
          <w:sz w:val="15"/>
          <w:vertAlign w:val="superscript"/>
        </w:rPr>
        <w:t>P281</w:t>
      </w:r>
      <w:r>
        <w:t>。这三者形成闭环：知道边界（A）、活在边界中（C）、发现越界及时上报（E），比仅对管理层做理念宣导或仅说明控制措施更直接地覆盖全员、全流程的风险偏好意识建设。</w:t>
      </w:r>
    </w:p>
    <w:p>
      <w:pPr>
        <w:spacing w:before="120" w:after="40"/>
      </w:pPr>
      <w:r>
        <w:rPr>
          <w:b/>
          <w:sz w:val="21"/>
          <w:shd w:fill="D6E4F0" w:val="clear"/>
        </w:rPr>
        <w:t>教材原句</w:t>
      </w:r>
    </w:p>
    <w:p>
      <w:pPr>
        <w:spacing w:line="360" w:lineRule="auto" w:after="40"/>
        <w:ind w:firstLine="420"/>
      </w:pPr>
      <w:r>
        <w:t>"The risk appetite statement is codified in policies and procedures."</w:t>
      </w:r>
    </w:p>
    <w:p>
      <w:pPr>
        <w:spacing w:before="120" w:after="40"/>
      </w:pPr>
      <w:r>
        <w:rPr>
          <w:b/>
          <w:sz w:val="21"/>
          <w:shd w:fill="D6E4F0" w:val="clear"/>
        </w:rPr>
        <w:t>B项错误</w:t>
      </w:r>
    </w:p>
    <w:p>
      <w:pPr>
        <w:spacing w:line="360" w:lineRule="auto" w:after="40"/>
        <w:ind w:firstLine="420"/>
      </w:pPr>
      <w:r>
        <w:t>风险偏好为业务设定边界</w:t>
      </w:r>
      <w:r>
        <w:rPr>
          <w:sz w:val="15"/>
          <w:vertAlign w:val="superscript"/>
        </w:rPr>
        <w:t>P270</w:t>
      </w:r>
      <w:r>
        <w:t>，其核心功能是框定约束而非倡导“良好风险承担”。对全体管理层培训风险承担的益处，更偏向于鼓励在既定边界内积极进取，而非让整个组织意识到边界本身。题干问的是提升“风险偏好意识”，A、C、E分别从认知边界、嵌入边界、报告越界三个维度直接服务于这一目标，B与教材对风险偏好功能的核心定位——设定边界——匹配度较低。</w:t>
      </w:r>
    </w:p>
    <w:p>
      <w:pPr>
        <w:spacing w:before="120" w:after="40"/>
      </w:pPr>
      <w:r>
        <w:rPr>
          <w:b/>
          <w:sz w:val="21"/>
          <w:shd w:fill="D6E4F0" w:val="clear"/>
        </w:rPr>
        <w:t>D项错误</w:t>
      </w:r>
    </w:p>
    <w:p>
      <w:pPr>
        <w:spacing w:line="360" w:lineRule="auto" w:after="40"/>
        <w:ind w:firstLine="420"/>
      </w:pPr>
      <w:r>
        <w:t>控制措施是为降低风险并确保遵守政策和程序而采取的行动</w:t>
      </w:r>
      <w:r>
        <w:rPr>
          <w:sz w:val="15"/>
          <w:vertAlign w:val="superscript"/>
        </w:rPr>
        <w:t>P244</w:t>
      </w:r>
      <w:r>
        <w:t>，它是风险偏好落地后的产物而非意识建设本身。题干问的是起草声明后如何提升意识，向业务同事说明控制措施更接近事后告知具体操作，不如A（培训理解风险限额的作用）、C（将风险偏好嵌入流程）、E（报告偏离情况）这三项在意识建设上直接。题干要素更支持“先把风险偏好的含义和边界种进大家心里”，而不是先讲控制手法。</w:t>
      </w:r>
    </w:p>
    <w:p>
      <w:pPr>
        <w:spacing w:before="120" w:after="40"/>
      </w:pPr>
      <w:r>
        <w:rPr>
          <w:b/>
          <w:sz w:val="21"/>
          <w:shd w:fill="D6E4F0" w:val="clear"/>
        </w:rPr>
        <w:t>易错提醒</w:t>
      </w:r>
    </w:p>
    <w:p>
      <w:pPr>
        <w:spacing w:line="360" w:lineRule="auto" w:after="40"/>
        <w:ind w:firstLine="420"/>
      </w:pPr>
      <w:r>
        <w:t>风险偏好（risk appetite）设定的是组织愿意承担的边界，不是鼓励承担更多风险。选项B的“良好风险承担”容易让人误以为是在宣传风险偏好的精神，但教材强调的是将声明编入政策与程序</w:t>
      </w:r>
      <w:r>
        <w:rPr>
          <w:sz w:val="15"/>
          <w:vertAlign w:val="superscript"/>
        </w:rPr>
        <w:t>P270</w:t>
      </w:r>
      <w:r>
        <w:t>，意识建设围绕的是遵守边界，而非理解承担风险的益处。混淆点在于把“管理风险承担活动”与“鼓励风险承担”画等号，前者是在既定限额内行事，后者是倡导扩大边界。</w:t>
      </w:r>
    </w:p>
    <w:p>
      <w:pPr>
        <w:spacing w:line="360" w:lineRule="auto" w:after="120"/>
      </w:pPr>
      <w:r/>
    </w:p>
    <w:p>
      <w:pPr>
        <w:spacing w:line="360" w:lineRule="auto" w:after="40"/>
      </w:pPr>
      <w:r>
        <w:t>17. A compliance officer is reviewing an institutional banking prospect proposal for a new foreign entity that is a multinational business but headquartered in a country where most businesses are state-owned. Which risks should be prioritized in the review? (Choose Two.) ( )</w:t>
      </w:r>
    </w:p>
    <w:p>
      <w:pPr>
        <w:spacing w:line="360" w:lineRule="auto" w:after="20"/>
        <w:ind w:firstLine="283"/>
      </w:pPr>
      <w:r>
        <w:t>A. Politically exposed persons (PEPs).</w:t>
      </w:r>
    </w:p>
    <w:p>
      <w:pPr>
        <w:spacing w:line="360" w:lineRule="auto" w:after="20"/>
        <w:ind w:firstLine="283"/>
      </w:pPr>
      <w:r>
        <w:t>B. Capital flight risk.</w:t>
      </w:r>
    </w:p>
    <w:p>
      <w:pPr>
        <w:spacing w:line="360" w:lineRule="auto" w:after="20"/>
        <w:ind w:firstLine="283"/>
      </w:pPr>
      <w:r>
        <w:t>C. Anti-bribery and corruption risk.</w:t>
      </w:r>
    </w:p>
    <w:p>
      <w:pPr>
        <w:spacing w:line="360" w:lineRule="auto" w:after="20"/>
        <w:ind w:firstLine="283"/>
      </w:pPr>
      <w:r>
        <w:t>D. Tax evasion.</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国有化背景下的PEP风险与贿赂腐败风险的直接关联</w:t>
      </w:r>
    </w:p>
    <w:p>
      <w:pPr>
        <w:spacing w:before="120" w:after="40"/>
      </w:pPr>
      <w:r>
        <w:rPr>
          <w:b/>
          <w:sz w:val="21"/>
          <w:shd w:fill="D6E4F0" w:val="clear"/>
        </w:rPr>
        <w:t>核心解析</w:t>
      </w:r>
    </w:p>
    <w:p>
      <w:pPr>
        <w:spacing w:line="360" w:lineRule="auto" w:after="40"/>
        <w:ind w:firstLine="420"/>
      </w:pPr>
      <w:r>
        <w:t>政治公众人物指担任重要公共职能或决策角色的个人，被视为较高风险客户</w:t>
      </w:r>
      <w:r>
        <w:rPr>
          <w:sz w:val="15"/>
          <w:vertAlign w:val="superscript"/>
        </w:rPr>
        <w:t>P270</w:t>
      </w:r>
      <w:r>
        <w:t>。题干中，合作方总部位于“大多数企业为国有的国家”，这意味着该国经济命脉掌握在政府手中，跨国企业的高管层很可能由现任或前任政府官员担任，或与政府存在密切关联，天然落入PEP的宽泛定义范围</w:t>
      </w:r>
      <w:r>
        <w:rPr>
          <w:sz w:val="15"/>
          <w:vertAlign w:val="superscript"/>
        </w:rPr>
        <w:t>P58</w:t>
      </w:r>
      <w:r>
        <w:t>。教材进一步指出，PEP或其密切关联人会增加业务的贿赂与腐败风险</w:t>
      </w:r>
      <w:r>
        <w:rPr>
          <w:sz w:val="15"/>
          <w:vertAlign w:val="superscript"/>
        </w:rPr>
        <w:t>P72</w:t>
      </w:r>
      <w:r>
        <w:t>，而贿赂与腐败是洗钱的主要上游犯罪</w:t>
      </w:r>
      <w:r>
        <w:rPr>
          <w:sz w:val="15"/>
          <w:vertAlign w:val="superscript"/>
        </w:rPr>
        <w:t>P205</w:t>
      </w:r>
      <w:r>
        <w:t>。因此，在审查这家位于国有经济主导国家的机构时，PEP风险和反贿赂腐败风险是最直接、最需要优先评估的两类风险——前者关注客户身份的固有风险等级，后者关注该身份可能衍生的具体犯罪行为。</w:t>
      </w:r>
    </w:p>
    <w:p>
      <w:pPr>
        <w:spacing w:before="120" w:after="40"/>
      </w:pPr>
      <w:r>
        <w:rPr>
          <w:b/>
          <w:sz w:val="21"/>
          <w:shd w:fill="D6E4F0" w:val="clear"/>
        </w:rPr>
        <w:t>教材原句</w:t>
      </w:r>
    </w:p>
    <w:p>
      <w:pPr>
        <w:spacing w:line="360" w:lineRule="auto" w:after="40"/>
        <w:ind w:firstLine="420"/>
      </w:pPr>
      <w:r>
        <w:t>"Customers who are considered PEPs or have close associates who are PEPs increase the bribery and corruption risk of the business."</w:t>
      </w:r>
    </w:p>
    <w:p>
      <w:pPr>
        <w:spacing w:before="120" w:after="40"/>
      </w:pPr>
      <w:r>
        <w:rPr>
          <w:b/>
          <w:sz w:val="21"/>
          <w:shd w:fill="D6E4F0" w:val="clear"/>
        </w:rPr>
        <w:t>B项错误</w:t>
      </w:r>
    </w:p>
    <w:p>
      <w:pPr>
        <w:spacing w:line="360" w:lineRule="auto" w:after="40"/>
        <w:ind w:firstLine="420"/>
      </w:pPr>
      <w:r>
        <w:t>资本外逃在教材中主要作为反洗钱措施薄弱地区的后果出现</w:t>
      </w:r>
      <w:r>
        <w:rPr>
          <w:sz w:val="15"/>
          <w:vertAlign w:val="superscript"/>
        </w:rPr>
        <w:t>P42</w:t>
      </w:r>
      <w:r>
        <w:t>，是系统性风险的结果而非审查单家机构时应优先评估的客户风险维度。提示题干指向的是机构本身的客户风险评估框架，资本外逃风险与PEP、腐败风险的直接匹配度不如A和C。</w:t>
      </w:r>
    </w:p>
    <w:p>
      <w:pPr>
        <w:spacing w:before="120" w:after="40"/>
      </w:pPr>
      <w:r>
        <w:rPr>
          <w:b/>
          <w:sz w:val="21"/>
          <w:shd w:fill="D6E4F0" w:val="clear"/>
        </w:rPr>
        <w:t>D项错误</w:t>
      </w:r>
    </w:p>
    <w:p>
      <w:pPr>
        <w:spacing w:line="360" w:lineRule="auto" w:after="40"/>
        <w:ind w:firstLine="420"/>
      </w:pPr>
      <w:r>
        <w:t>税务欺诈是洗钱的上游犯罪之一</w:t>
      </w:r>
      <w:r>
        <w:rPr>
          <w:sz w:val="15"/>
          <w:vertAlign w:val="superscript"/>
        </w:rPr>
        <w:t>P22</w:t>
      </w:r>
      <w:r>
        <w:t>，但题干只描述了机构总部位于国有经济主导国家这一特征，未提供任何与税务申报、收入隐匿或跨境避税结构相关的具体线索。在教材风险识别框架中，PEP身份与腐败风险的触发条件更直接由题干事实支撑，税务欺诈的关联则需更多假设补全。</w:t>
      </w:r>
    </w:p>
    <w:p>
      <w:pPr>
        <w:spacing w:before="120" w:after="40"/>
      </w:pPr>
      <w:r>
        <w:rPr>
          <w:b/>
          <w:sz w:val="21"/>
          <w:shd w:fill="D6E4F0" w:val="clear"/>
        </w:rPr>
        <w:t>易错提醒</w:t>
      </w:r>
    </w:p>
    <w:p>
      <w:pPr>
        <w:spacing w:line="360" w:lineRule="auto" w:after="40"/>
        <w:ind w:firstLine="420"/>
      </w:pPr>
      <w:r>
        <w:t>资本外逃（B）是金融犯罪泛滥的宏观后果，不是触发单家客户强化审查的客户固有风险因素；税务欺诈（D）是具体犯罪行为类型，需有逃税迹象才能触发，而PEP身份和腐败风险可由“国有经济主导”这一司法管辖区特征直接推导。做题时区分三类概念：客户固有身份风险（如PEP）、客户可能从事的犯罪类型风险（如腐败、税务欺诈）、以及系统性后果（如资本外逃）。</w:t>
      </w:r>
    </w:p>
    <w:p>
      <w:pPr>
        <w:spacing w:line="360" w:lineRule="auto" w:after="120"/>
      </w:pPr>
      <w:r/>
    </w:p>
    <w:p>
      <w:pPr>
        <w:spacing w:line="360" w:lineRule="auto" w:after="40"/>
      </w:pPr>
      <w:r>
        <w:t>18. Which of the following are considered best practices regarding senior management involvement in a financial crime compliance program? (Choose two.) ( )</w:t>
      </w:r>
    </w:p>
    <w:p>
      <w:pPr>
        <w:spacing w:line="360" w:lineRule="auto" w:after="20"/>
        <w:ind w:firstLine="283"/>
      </w:pPr>
      <w:r>
        <w:t>A. Setting the tone from the top</w:t>
      </w:r>
    </w:p>
    <w:p>
      <w:pPr>
        <w:spacing w:line="360" w:lineRule="auto" w:after="20"/>
        <w:ind w:firstLine="283"/>
      </w:pPr>
      <w:r>
        <w:t>B. Mandatory participation in all regulatory inspections</w:t>
      </w:r>
    </w:p>
    <w:p>
      <w:pPr>
        <w:spacing w:line="360" w:lineRule="auto" w:after="20"/>
        <w:ind w:firstLine="283"/>
      </w:pPr>
      <w:r>
        <w:t>C. Mandatory attendance at and review of all financial crime training courses</w:t>
      </w:r>
    </w:p>
    <w:p>
      <w:pPr>
        <w:spacing w:line="360" w:lineRule="auto" w:after="20"/>
        <w:ind w:firstLine="283"/>
      </w:pPr>
      <w:r>
        <w:t>D. Setting clear criteria for escalations to senior management</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高级管理层在合规计划中的核心职责定位</w:t>
      </w:r>
    </w:p>
    <w:p>
      <w:pPr>
        <w:spacing w:before="120" w:after="40"/>
      </w:pPr>
      <w:r>
        <w:rPr>
          <w:b/>
          <w:sz w:val="21"/>
          <w:shd w:fill="D6E4F0" w:val="clear"/>
        </w:rPr>
        <w:t>核心解析</w:t>
      </w:r>
    </w:p>
    <w:p>
      <w:pPr>
        <w:spacing w:line="360" w:lineRule="auto" w:after="40"/>
        <w:ind w:firstLine="420"/>
      </w:pPr>
      <w:r>
        <w:t>教材提到，有效的反洗钱合规计划需要高级管理层的充分承诺与支持</w:t>
      </w:r>
      <w:r>
        <w:rPr>
          <w:sz w:val="15"/>
          <w:vertAlign w:val="superscript"/>
        </w:rPr>
        <w:t>P271</w:t>
      </w:r>
      <w:r>
        <w:t>，这表明高级管理层的核心职责是确立整体基调与文化，而非事必躬亲地参与每一项具体操作。选项A“自上而下定基调”直接对应这一职责——即由高层设定战略方向和合规文化，这是所有合规工作的起点。选项D“为向高级管理层升级问题设定明确的标准”则对应反洗钱政策应包含向高级管理层和董事会报告问题的升级程序</w:t>
      </w:r>
      <w:r>
        <w:rPr>
          <w:sz w:val="15"/>
          <w:vertAlign w:val="superscript"/>
        </w:rPr>
        <w:t>P244</w:t>
      </w:r>
      <w:r>
        <w:t>，这定义了高管接收信息的机制，确保他们在关键时刻能获得所需信息以履行监督职责。相比之下，A和D共同抓住了高管角色的本质：定方向、建机制，而非具体执行。</w:t>
      </w:r>
    </w:p>
    <w:p>
      <w:pPr>
        <w:spacing w:before="120" w:after="40"/>
      </w:pPr>
      <w:r>
        <w:rPr>
          <w:b/>
          <w:sz w:val="21"/>
          <w:shd w:fill="D6E4F0" w:val="clear"/>
        </w:rPr>
        <w:t>教材原句</w:t>
      </w:r>
    </w:p>
    <w:p>
      <w:pPr>
        <w:spacing w:line="360" w:lineRule="auto" w:after="40"/>
        <w:ind w:firstLine="420"/>
      </w:pPr>
      <w:r>
        <w:t>"It requires the full commitment and support of senior management, and the active cooperation of all employees."</w:t>
      </w:r>
    </w:p>
    <w:p>
      <w:pPr>
        <w:spacing w:before="120" w:after="40"/>
      </w:pPr>
      <w:r>
        <w:rPr>
          <w:b/>
          <w:sz w:val="21"/>
          <w:shd w:fill="D6E4F0" w:val="clear"/>
        </w:rPr>
        <w:t>B项错误</w:t>
      </w:r>
    </w:p>
    <w:p>
      <w:pPr>
        <w:spacing w:line="360" w:lineRule="auto" w:after="40"/>
        <w:ind w:firstLine="420"/>
      </w:pPr>
      <w:r>
        <w:t>教材强调高管需确保系统符合监管要求</w:t>
      </w:r>
      <w:r>
        <w:rPr>
          <w:sz w:val="15"/>
          <w:vertAlign w:val="superscript"/>
        </w:rPr>
        <w:t>P426</w:t>
      </w:r>
      <w:r>
        <w:t>，但“必须参加所有监管检查”超出了教材对高管监督角色的界定。题干更支持一种战略层面的监督，而非强制出席每一次检查活动。在教材框架下，高管的核心职责是定调和建立升级机制，参加具体检查不如建立确保合规的系统性机制更直接匹配。</w:t>
      </w:r>
    </w:p>
    <w:p>
      <w:pPr>
        <w:spacing w:before="120" w:after="40"/>
      </w:pPr>
      <w:r>
        <w:rPr>
          <w:b/>
          <w:sz w:val="21"/>
          <w:shd w:fill="D6E4F0" w:val="clear"/>
        </w:rPr>
        <w:t>C项错误</w:t>
      </w:r>
    </w:p>
    <w:p>
      <w:pPr>
        <w:spacing w:line="360" w:lineRule="auto" w:after="40"/>
        <w:ind w:firstLine="420"/>
      </w:pPr>
      <w:r>
        <w:t>教材将员工定期反洗钱培训列为第三大支柱</w:t>
      </w:r>
      <w:r>
        <w:rPr>
          <w:sz w:val="15"/>
          <w:vertAlign w:val="superscript"/>
        </w:rPr>
        <w:t>P245</w:t>
      </w:r>
      <w:r>
        <w:t>，但这是对全体“员工”的要求，未强制高管亲自参加并审查所有培训。高管的职责更侧重于确保培训体系存在且有效，而非亲自完成每一项培训课程。相比之下，正确项A所体现的顶层基调设定，比强制参加所有培训更吻合教材对高管角色的定位。</w:t>
      </w:r>
    </w:p>
    <w:p>
      <w:pPr>
        <w:spacing w:before="120" w:after="40"/>
      </w:pPr>
      <w:r>
        <w:rPr>
          <w:b/>
          <w:sz w:val="21"/>
          <w:shd w:fill="D6E4F0" w:val="clear"/>
        </w:rPr>
        <w:t>易错提醒</w:t>
      </w:r>
    </w:p>
    <w:p>
      <w:pPr>
        <w:spacing w:line="360" w:lineRule="auto" w:after="40"/>
        <w:ind w:firstLine="420"/>
      </w:pPr>
      <w:r>
        <w:t>教材提到，合规计划需要高级管理层的承诺、合规官的日常管理、员工培训以及独立审计（P244-245）。高管的职责是“承诺与支持”，合规官的职责是“负责管理计划”，两者的区别在于：高管定调、设机制、做决策，合规官去执行和管理。错误项往往把合规官或普通员工的执行职责强加给了高管，这混淆了角色分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