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CH09 (EN)</w:t>
      </w:r>
    </w:p>
    <w:p>
      <w:pPr>
        <w:spacing w:line="360" w:lineRule="auto" w:after="160"/>
      </w:pPr>
      <w:r>
        <w:t>一、单项选择题</w:t>
      </w:r>
    </w:p>
    <w:p>
      <w:pPr>
        <w:spacing w:line="360" w:lineRule="auto" w:after="40"/>
      </w:pPr>
      <w:r>
        <w:t>1. An AML compliance officer receives an independent audit report with a number of findings. An appropriate response to the report would include: ( )</w:t>
      </w:r>
    </w:p>
    <w:p>
      <w:pPr>
        <w:spacing w:line="360" w:lineRule="auto" w:after="20"/>
        <w:ind w:firstLine="283"/>
      </w:pPr>
      <w:r>
        <w:t>A. Drafting detailed action plans for the audit team to execute to close the findings</w:t>
      </w:r>
    </w:p>
    <w:p>
      <w:pPr>
        <w:spacing w:line="360" w:lineRule="auto" w:after="20"/>
        <w:ind w:firstLine="283"/>
      </w:pPr>
      <w:r>
        <w:t>B. Reperforming the testing for the controls mentioned in the findings to confirm the results of the audit</w:t>
      </w:r>
    </w:p>
    <w:p>
      <w:pPr>
        <w:spacing w:line="360" w:lineRule="auto" w:after="20"/>
        <w:ind w:firstLine="283"/>
      </w:pPr>
      <w:r>
        <w:t>C. Defining remedial actions based on the findings' root cause analysis</w:t>
      </w:r>
    </w:p>
    <w:p>
      <w:pPr>
        <w:spacing w:line="360" w:lineRule="auto" w:after="20"/>
        <w:ind w:firstLine="283"/>
      </w:pPr>
      <w:r>
        <w:t>D. Assigning responsibility for reviewing the action plan to the board of directors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审计发现后应通过根本原因分析制定补救措施</w:t>
      </w:r>
    </w:p>
    <w:p>
      <w:pPr>
        <w:spacing w:before="120" w:after="40"/>
      </w:pPr>
      <w:r>
        <w:rPr>
          <w:b/>
          <w:sz w:val="21"/>
          <w:shd w:fill="D6E4F0" w:val="clear"/>
        </w:rPr>
        <w:t>核心解析</w:t>
      </w:r>
    </w:p>
    <w:p>
      <w:pPr>
        <w:spacing w:line="360" w:lineRule="auto" w:after="40"/>
        <w:ind w:firstLine="420"/>
      </w:pPr>
      <w:r>
        <w:t>组织必须分析并纠正错误的根本原因以避免再次发生</w:t>
      </w:r>
      <w:r>
        <w:rPr>
          <w:sz w:val="15"/>
          <w:vertAlign w:val="superscript"/>
        </w:rPr>
        <w:t>P279</w:t>
      </w:r>
      <w:r>
        <w:t>。同时，制定纠正行动计划、报告进展并加强金融犯罪防控框架，防止问题再次发生</w:t>
      </w:r>
      <w:r>
        <w:rPr>
          <w:sz w:val="15"/>
          <w:vertAlign w:val="superscript"/>
        </w:rPr>
        <w:t>P299</w:t>
      </w:r>
      <w:r>
        <w:t>。审计后持续沟通有助于制定行动计划，反洗钱合规团队可及时实施改进</w:t>
      </w:r>
      <w:r>
        <w:rPr>
          <w:sz w:val="15"/>
          <w:vertAlign w:val="superscript"/>
        </w:rPr>
        <w:t>P258</w:t>
      </w:r>
      <w:r>
        <w:t>。题干中合规官收到独立审计报告包含若干发现，恰当回应应直接针对发现本身，通过根本原因分析确定补救措施，这符合教材对审计后响应流程的标准定义。由此可推断，C选项最直接匹配“收到审计发现→分析根因→确定补救措施”这一闭环。</w:t>
      </w:r>
    </w:p>
    <w:p>
      <w:pPr>
        <w:spacing w:before="120" w:after="40"/>
      </w:pPr>
      <w:r>
        <w:rPr>
          <w:b/>
          <w:sz w:val="21"/>
          <w:shd w:fill="D6E4F0" w:val="clear"/>
        </w:rPr>
        <w:t>教材原句</w:t>
      </w:r>
    </w:p>
    <w:p>
      <w:pPr>
        <w:spacing w:line="360" w:lineRule="auto" w:after="40"/>
        <w:ind w:firstLine="420"/>
      </w:pPr>
      <w:r>
        <w:t>"The organization must analyze and correct the root cause of the error to avoid recurrence."</w:t>
      </w:r>
    </w:p>
    <w:p>
      <w:pPr>
        <w:spacing w:before="120" w:after="40"/>
      </w:pPr>
      <w:r>
        <w:rPr>
          <w:b/>
          <w:sz w:val="21"/>
          <w:shd w:fill="D6E4F0" w:val="clear"/>
        </w:rPr>
        <w:t>A项错误</w:t>
      </w:r>
    </w:p>
    <w:p>
      <w:pPr>
        <w:spacing w:line="360" w:lineRule="auto" w:after="40"/>
        <w:ind w:firstLine="420"/>
      </w:pPr>
      <w:r>
        <w:t>教材指出审计后持续沟通有助于制定行动计划，但应由反洗钱合规团队负责实施改进，而非为审计团队起草计划</w:t>
      </w:r>
      <w:r>
        <w:rPr>
          <w:sz w:val="15"/>
          <w:vertAlign w:val="superscript"/>
        </w:rPr>
        <w:t>P258</w:t>
      </w:r>
      <w:r>
        <w:t>。独立审计职能负责验证和确认，不承担执行整改的角色，因此A选项不如C选项直接匹配对审计发现的响应主体和流程。</w:t>
      </w:r>
    </w:p>
    <w:p>
      <w:pPr>
        <w:spacing w:before="120" w:after="40"/>
      </w:pPr>
      <w:r>
        <w:rPr>
          <w:b/>
          <w:sz w:val="21"/>
          <w:shd w:fill="D6E4F0" w:val="clear"/>
        </w:rPr>
        <w:t>B项错误</w:t>
      </w:r>
    </w:p>
    <w:p>
      <w:pPr>
        <w:spacing w:line="360" w:lineRule="auto" w:after="40"/>
        <w:ind w:firstLine="420"/>
      </w:pPr>
      <w:r>
        <w:t>教材强调组织必须分析并纠正根本原因以避免再次发生</w:t>
      </w:r>
      <w:r>
        <w:rPr>
          <w:sz w:val="15"/>
          <w:vertAlign w:val="superscript"/>
        </w:rPr>
        <w:t>P279</w:t>
      </w:r>
      <w:r>
        <w:t>，合规测试职能可进行定期质量保证审查，但收到审计报告后应聚焦补救而非重新测试确认。B选项混淆了响应阶段，题干条件更支持先分析根因并制定补救措施，而非质疑已完成审计的结果。</w:t>
      </w:r>
    </w:p>
    <w:p>
      <w:pPr>
        <w:spacing w:before="120" w:after="40"/>
      </w:pPr>
      <w:r>
        <w:rPr>
          <w:b/>
          <w:sz w:val="21"/>
          <w:shd w:fill="D6E4F0" w:val="clear"/>
        </w:rPr>
        <w:t>D项错误</w:t>
      </w:r>
    </w:p>
    <w:p>
      <w:pPr>
        <w:spacing w:line="360" w:lineRule="auto" w:after="40"/>
        <w:ind w:firstLine="420"/>
      </w:pPr>
      <w:r>
        <w:t>董事会对合规计划承担最终责任并监督有效性</w:t>
      </w:r>
      <w:r>
        <w:rPr>
          <w:sz w:val="15"/>
          <w:vertAlign w:val="superscript"/>
        </w:rPr>
        <w:t>P264</w:t>
      </w:r>
      <w:r>
        <w:t>，审查行动计划是董事会监督职能的一部分，但教材将审计后的直接响应定位为制定纠正行动计划</w:t>
      </w:r>
      <w:r>
        <w:rPr>
          <w:sz w:val="15"/>
          <w:vertAlign w:val="superscript"/>
        </w:rPr>
        <w:t>P299</w:t>
      </w:r>
      <w:r>
        <w:t>。将审查责任分配给董事会是治理安排，不如C选项直接对应审计发现后的即时补救措施。</w:t>
      </w:r>
    </w:p>
    <w:p>
      <w:pPr>
        <w:spacing w:before="120" w:after="40"/>
      </w:pPr>
      <w:r>
        <w:rPr>
          <w:b/>
          <w:sz w:val="21"/>
          <w:shd w:fill="D6E4F0" w:val="clear"/>
        </w:rPr>
        <w:t>易错提醒</w:t>
      </w:r>
    </w:p>
    <w:p>
      <w:pPr>
        <w:spacing w:line="360" w:lineRule="auto" w:after="40"/>
        <w:ind w:firstLine="420"/>
      </w:pPr>
      <w:r>
        <w:t>区分“审计发现后应做什么”：教材要求分析根本原因并纠正</w:t>
      </w:r>
      <w:r>
        <w:rPr>
          <w:sz w:val="15"/>
          <w:vertAlign w:val="superscript"/>
        </w:rPr>
        <w:t>P279</w:t>
      </w:r>
      <w:r>
        <w:t>，而非重新测试控制以确认审计结果。审计是独立验证职能，其发现应被接受并转化为补救行动，避免陷入质疑循环。</w:t>
      </w:r>
    </w:p>
    <w:p>
      <w:pPr>
        <w:spacing w:line="360" w:lineRule="auto" w:after="120"/>
      </w:pPr>
      <w:r/>
    </w:p>
    <w:p>
      <w:pPr>
        <w:spacing w:line="360" w:lineRule="auto" w:after="40"/>
      </w:pPr>
      <w:r>
        <w:t>2. A financial institution is conducting an enterprise-wide risk assessment (EWRA) and has identified a high inherent risk of money laundering associated with its private banking division due to the clientele's high net worth and complex financial structures. However, the institution has implemented robust customer due diligence (CDD) and enhanced due diligence (EDD) procedures, along with sophisticated transaction monitoring systems. How would these controls impact the assessment of residual risk? ( )</w:t>
      </w:r>
    </w:p>
    <w:p>
      <w:pPr>
        <w:spacing w:line="360" w:lineRule="auto" w:after="20"/>
        <w:ind w:firstLine="283"/>
      </w:pPr>
      <w:r>
        <w:t>A. The residual risk would be significantly reduced due to the effectiveness of the controls in place</w:t>
      </w:r>
    </w:p>
    <w:p>
      <w:pPr>
        <w:spacing w:line="360" w:lineRule="auto" w:after="20"/>
        <w:ind w:firstLine="283"/>
      </w:pPr>
      <w:r>
        <w:t>B. The residual risk would be moderately reduced, but further controls may be necessary to achieve an acceptable level</w:t>
      </w:r>
    </w:p>
    <w:p>
      <w:pPr>
        <w:spacing w:line="360" w:lineRule="auto" w:after="20"/>
        <w:ind w:firstLine="283"/>
      </w:pPr>
      <w:r>
        <w:t>C. The residual risk would remain high due to the inherent nature of private banking</w:t>
      </w:r>
    </w:p>
    <w:p>
      <w:pPr>
        <w:spacing w:line="360" w:lineRule="auto" w:after="20"/>
        <w:ind w:firstLine="283"/>
      </w:pPr>
      <w:r>
        <w:t>D. The residual risk would be completely eliminated because these controls reduce all potential risks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根据固有风险与控制有效性计算剩余风险</w:t>
      </w:r>
    </w:p>
    <w:p>
      <w:pPr>
        <w:spacing w:before="120" w:after="40"/>
      </w:pPr>
      <w:r>
        <w:rPr>
          <w:b/>
          <w:sz w:val="21"/>
          <w:shd w:fill="D6E4F0" w:val="clear"/>
        </w:rPr>
        <w:t>核心解析</w:t>
      </w:r>
    </w:p>
    <w:p>
      <w:pPr>
        <w:spacing w:line="360" w:lineRule="auto" w:after="40"/>
        <w:ind w:firstLine="420"/>
      </w:pPr>
      <w:r>
        <w:t>剩余风险由固有风险减去控制有效性得出</w:t>
      </w:r>
      <w:r>
        <w:rPr>
          <w:sz w:val="15"/>
          <w:vertAlign w:val="superscript"/>
        </w:rPr>
        <w:t>P278</w:t>
      </w:r>
      <w:r>
        <w:t>。题干中，私人银行部门固有风险高，但机构已实施严格的CDD、EDD及交易监控措施，这些控制能降低风险，但降幅取决于控制的实际有效性。教材进一步说明，控制措施须经设计和运行有效性评估（P278-279），且识别固有风险后应将其降至可接受水平</w:t>
      </w:r>
      <w:r>
        <w:rPr>
          <w:sz w:val="15"/>
          <w:vertAlign w:val="superscript"/>
        </w:rPr>
        <w:t>P278</w:t>
      </w:r>
      <w:r>
        <w:t>。题干未提及这些控制已被评估为完全有效，因此剩余风险不会被消除或显著压低，而会更可能出现适度降低，并可能需要额外控制才能达到可接受水平——这正是选项B的逻辑。</w:t>
      </w:r>
    </w:p>
    <w:p>
      <w:pPr>
        <w:spacing w:before="120" w:after="40"/>
      </w:pPr>
      <w:r>
        <w:rPr>
          <w:b/>
          <w:sz w:val="21"/>
          <w:shd w:fill="D6E4F0" w:val="clear"/>
        </w:rPr>
        <w:t>教材原句</w:t>
      </w:r>
    </w:p>
    <w:p>
      <w:pPr>
        <w:spacing w:line="360" w:lineRule="auto" w:after="40"/>
        <w:ind w:firstLine="420"/>
      </w:pPr>
      <w:r>
        <w:t>"The formula for calculating residual risk is: inherent risk minus control effectiveness equals residual risk (inherent risk – control effectiveness = residual risk)."</w:t>
      </w:r>
    </w:p>
    <w:p>
      <w:pPr>
        <w:spacing w:before="120" w:after="40"/>
      </w:pPr>
      <w:r>
        <w:rPr>
          <w:b/>
          <w:sz w:val="21"/>
          <w:shd w:fill="D6E4F0" w:val="clear"/>
        </w:rPr>
        <w:t>A项错误</w:t>
      </w:r>
    </w:p>
    <w:p>
      <w:pPr>
        <w:spacing w:line="360" w:lineRule="auto" w:after="40"/>
        <w:ind w:firstLine="420"/>
      </w:pPr>
      <w:r>
        <w:t>选项A假定现有控制已“显著降低”剩余风险，但题干只表明控制措施已实施，并未提供其设计或运行有效性的评估结果。教材要求从设计和运行两方面评估控制有效性，并警惕因误判控制强度而错误压低剩余风险</w:t>
      </w:r>
      <w:r>
        <w:rPr>
          <w:sz w:val="15"/>
          <w:vertAlign w:val="superscript"/>
        </w:rPr>
        <w:t>P280</w:t>
      </w:r>
      <w:r>
        <w:t>，因此“显著降低”的结论不如“适度降低”审慎，匹配度较低。</w:t>
      </w:r>
    </w:p>
    <w:p>
      <w:pPr>
        <w:spacing w:before="120" w:after="40"/>
      </w:pPr>
      <w:r>
        <w:rPr>
          <w:b/>
          <w:sz w:val="21"/>
          <w:shd w:fill="D6E4F0" w:val="clear"/>
        </w:rPr>
        <w:t>C项错误</w:t>
      </w:r>
    </w:p>
    <w:p>
      <w:pPr>
        <w:spacing w:line="360" w:lineRule="auto" w:after="40"/>
        <w:ind w:firstLine="420"/>
      </w:pPr>
      <w:r>
        <w:t>选项C完全以固有风险的性质推演剩余风险，忽视了控制措施已实施这一关键事实。教材指出控制措施旨在将固有风险降至与机构风险偏好一致的水平</w:t>
      </w:r>
      <w:r>
        <w:rPr>
          <w:sz w:val="15"/>
          <w:vertAlign w:val="superscript"/>
        </w:rPr>
        <w:t>P278</w:t>
      </w:r>
      <w:r>
        <w:t>，题干中CDD/EDD等控制的存在意味着剩余风险不会与固有风险等量齐观，因此C的匹配度低于B。</w:t>
      </w:r>
    </w:p>
    <w:p>
      <w:pPr>
        <w:spacing w:before="120" w:after="40"/>
      </w:pPr>
      <w:r>
        <w:rPr>
          <w:b/>
          <w:sz w:val="21"/>
          <w:shd w:fill="D6E4F0" w:val="clear"/>
        </w:rPr>
        <w:t>D项错误</w:t>
      </w:r>
    </w:p>
    <w:p>
      <w:pPr>
        <w:spacing w:line="360" w:lineRule="auto" w:after="40"/>
        <w:ind w:firstLine="420"/>
      </w:pPr>
      <w:r>
        <w:t>选项D称剩余风险“完全消除”，违背剩余风险的基本概念——控制措施只能降低风险，无法消除所有潜在风险。教材案例亦显示即使控制有效，剩余风险也只是降至中低水平</w:t>
      </w:r>
      <w:r>
        <w:rPr>
          <w:sz w:val="15"/>
          <w:vertAlign w:val="superscript"/>
        </w:rPr>
        <w:t>P278</w:t>
      </w:r>
      <w:r>
        <w:t>，可见D的匹配度最弱。</w:t>
      </w:r>
    </w:p>
    <w:p>
      <w:pPr>
        <w:spacing w:before="120" w:after="40"/>
      </w:pPr>
      <w:r>
        <w:rPr>
          <w:b/>
          <w:sz w:val="21"/>
          <w:shd w:fill="D6E4F0" w:val="clear"/>
        </w:rPr>
        <w:t>易错提醒</w:t>
      </w:r>
    </w:p>
    <w:p>
      <w:pPr>
        <w:spacing w:line="360" w:lineRule="auto" w:after="40"/>
        <w:ind w:firstLine="420"/>
      </w:pPr>
      <w:r>
        <w:t>注意区分“固有风险”与“剩余风险”：固有风险是未考虑控制时的风险水平（本题中私人银行客户高净值、结构复杂导致的高固有风险），剩余风险是应用控制后的风险水平（剩余风险 = 固有风险 − 控制有效性）。控制措施能降低风险，但无法完全消除风险，因此剩余风险不会是零。</w:t>
      </w:r>
    </w:p>
    <w:p>
      <w:pPr>
        <w:spacing w:line="360" w:lineRule="auto" w:after="120"/>
      </w:pPr>
      <w:r/>
    </w:p>
    <w:p>
      <w:pPr>
        <w:spacing w:line="360" w:lineRule="auto" w:after="40"/>
      </w:pPr>
      <w:r>
        <w:t>3. An AML compliance officer is drafting plans to address deficiencies identified in an independent audit. Which approach is the best option? ( )</w:t>
      </w:r>
    </w:p>
    <w:p>
      <w:pPr>
        <w:spacing w:line="360" w:lineRule="auto" w:after="20"/>
        <w:ind w:firstLine="283"/>
      </w:pPr>
      <w:r>
        <w:t>A. Only commit to action plans that require no new investment to maximize shareholder value</w:t>
      </w:r>
    </w:p>
    <w:p>
      <w:pPr>
        <w:spacing w:line="360" w:lineRule="auto" w:after="20"/>
        <w:ind w:firstLine="283"/>
      </w:pPr>
      <w:r>
        <w:t>B. Draft action plans in consultation with the jurisdiction's FIU to remain aligned with other similar companies</w:t>
      </w:r>
    </w:p>
    <w:p>
      <w:pPr>
        <w:spacing w:line="360" w:lineRule="auto" w:after="20"/>
        <w:ind w:firstLine="283"/>
      </w:pPr>
      <w:r>
        <w:t>C. Only commit to action plans that can be implemented and closed within the three-month management reporting cycle</w:t>
      </w:r>
    </w:p>
    <w:p>
      <w:pPr>
        <w:spacing w:line="360" w:lineRule="auto" w:after="20"/>
        <w:ind w:firstLine="283"/>
      </w:pPr>
      <w:r>
        <w:t>D. Draft action plans to address the root cause of the deficiencies, regardless of how long they will take to fully implement</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纠正行动计划须解决根本原因以防复发</w:t>
      </w:r>
    </w:p>
    <w:p>
      <w:pPr>
        <w:spacing w:before="120" w:after="40"/>
      </w:pPr>
      <w:r>
        <w:rPr>
          <w:b/>
          <w:sz w:val="21"/>
          <w:shd w:fill="D6E4F0" w:val="clear"/>
        </w:rPr>
        <w:t>核心解析</w:t>
      </w:r>
    </w:p>
    <w:p>
      <w:pPr>
        <w:spacing w:line="360" w:lineRule="auto" w:after="40"/>
        <w:ind w:firstLine="420"/>
      </w:pPr>
      <w:r>
        <w:t>对于审计发现的缺陷，教材要求组织必须分析并纠正错误的根本原因以避免再次发生</w:t>
      </w:r>
      <w:r>
        <w:rPr>
          <w:sz w:val="15"/>
          <w:vertAlign w:val="superscript"/>
        </w:rPr>
        <w:t>P279</w:t>
      </w:r>
      <w:r>
        <w:t>，并制定纠正行动计划、报告进展、加强金融犯罪防控框架，防止问题重复出现</w:t>
      </w:r>
      <w:r>
        <w:rPr>
          <w:sz w:val="15"/>
          <w:vertAlign w:val="superscript"/>
        </w:rPr>
        <w:t>P299</w:t>
      </w:r>
      <w:r>
        <w:t>。题干中合规官要解决独立审计发现的缺陷，最佳方法就是起草直指根本原因的行动计划，而不应被实施周期等条件限制，因此选项D直接吻合这一原则。</w:t>
      </w:r>
    </w:p>
    <w:p>
      <w:pPr>
        <w:spacing w:before="120" w:after="40"/>
      </w:pPr>
      <w:r>
        <w:rPr>
          <w:b/>
          <w:sz w:val="21"/>
          <w:shd w:fill="D6E4F0" w:val="clear"/>
        </w:rPr>
        <w:t>教材原句</w:t>
      </w:r>
    </w:p>
    <w:p>
      <w:pPr>
        <w:spacing w:line="360" w:lineRule="auto" w:after="40"/>
        <w:ind w:firstLine="420"/>
      </w:pPr>
      <w:r>
        <w:t>"The organization must analyze and correct the root cause of the error to avoid recurrence."</w:t>
      </w:r>
    </w:p>
    <w:p>
      <w:pPr>
        <w:spacing w:before="120" w:after="40"/>
      </w:pPr>
      <w:r>
        <w:rPr>
          <w:b/>
          <w:sz w:val="21"/>
          <w:shd w:fill="D6E4F0" w:val="clear"/>
        </w:rPr>
        <w:t>A项错误</w:t>
      </w:r>
    </w:p>
    <w:p>
      <w:pPr>
        <w:spacing w:line="360" w:lineRule="auto" w:after="40"/>
        <w:ind w:firstLine="420"/>
      </w:pPr>
      <w:r>
        <w:t>教材对纠正行动的要求以消除缺陷根源为优先，而非由是否需新增投资或能否最大化股东价值决定。题干情形更直接匹配以根本原因为导向的计划，而非仅挑选无成本负担的措施。</w:t>
      </w:r>
    </w:p>
    <w:p>
      <w:pPr>
        <w:spacing w:before="120" w:after="40"/>
      </w:pPr>
      <w:r>
        <w:rPr>
          <w:b/>
          <w:sz w:val="21"/>
          <w:shd w:fill="D6E4F0" w:val="clear"/>
        </w:rPr>
        <w:t>B项错误</w:t>
      </w:r>
    </w:p>
    <w:p>
      <w:pPr>
        <w:spacing w:line="360" w:lineRule="auto" w:after="40"/>
        <w:ind w:firstLine="420"/>
      </w:pPr>
      <w:r>
        <w:t>金融情报机构的核心职能是接收和分析可疑交易报告，并非为个别机构的内部纠正行动计划提供咨询。行动计划的制定应基于机构自身的缺陷根因，与同行保持一致不是教材强调的重点，相比之下不如直接针对根本原因的计划更匹配。</w:t>
      </w:r>
    </w:p>
    <w:p>
      <w:pPr>
        <w:spacing w:before="120" w:after="40"/>
      </w:pPr>
      <w:r>
        <w:rPr>
          <w:b/>
          <w:sz w:val="21"/>
          <w:shd w:fill="D6E4F0" w:val="clear"/>
        </w:rPr>
        <w:t>C项错误</w:t>
      </w:r>
    </w:p>
    <w:p>
      <w:pPr>
        <w:spacing w:line="360" w:lineRule="auto" w:after="40"/>
        <w:ind w:firstLine="420"/>
      </w:pPr>
      <w:r>
        <w:t>纠正行动的时间安排应服务于彻底解决缺陷，而非受限于三个月的管理报告周期。教材未对纠正计划设定期限，反而强调根本原因分析和长效防控，三个月限制可能无法充分处理深层问题，因此不如无时限的根本原因方案更贴合教材框架。</w:t>
      </w:r>
    </w:p>
    <w:p>
      <w:pPr>
        <w:spacing w:before="120" w:after="40"/>
      </w:pPr>
      <w:r>
        <w:rPr>
          <w:b/>
          <w:sz w:val="21"/>
          <w:shd w:fill="D6E4F0" w:val="clear"/>
        </w:rPr>
        <w:t>易错提醒</w:t>
      </w:r>
    </w:p>
    <w:p>
      <w:pPr>
        <w:spacing w:line="360" w:lineRule="auto" w:after="40"/>
        <w:ind w:firstLine="420"/>
      </w:pPr>
      <w:r>
        <w:t>纠正行动计划着眼于根本原因和长效防控，不能混同于用短期时限（如三个月）或成本门槛筛选措施的日常管理行为。教材明确要求分析并纠正根本原因以避免复发</w:t>
      </w:r>
      <w:r>
        <w:rPr>
          <w:sz w:val="15"/>
          <w:vertAlign w:val="superscript"/>
        </w:rPr>
        <w:t>P279</w:t>
      </w:r>
      <w:r>
        <w:t>。</w:t>
      </w:r>
    </w:p>
    <w:p>
      <w:pPr>
        <w:spacing w:line="360" w:lineRule="auto" w:after="120"/>
      </w:pPr>
      <w:r/>
    </w:p>
    <w:p>
      <w:pPr>
        <w:spacing w:line="360" w:lineRule="auto" w:after="40"/>
      </w:pPr>
      <w:r>
        <w:t>4. A client advisor at a bank contacts a member of the compliance team for guidance on how to proceed with a client who wants to transfer US$250,000 from the sale of cryptoassets into their savings account at the bank. What guidance should the compliance team provide? ( )</w:t>
      </w:r>
    </w:p>
    <w:p>
      <w:pPr>
        <w:spacing w:line="360" w:lineRule="auto" w:after="20"/>
        <w:ind w:firstLine="283"/>
      </w:pPr>
      <w:r>
        <w:t>A. Advise that further clarification is necessary, including which coins or tokens were sold and whether the crypto exchange conducts due diligence on its clients</w:t>
      </w:r>
    </w:p>
    <w:p>
      <w:pPr>
        <w:spacing w:line="360" w:lineRule="auto" w:after="20"/>
        <w:ind w:firstLine="283"/>
      </w:pPr>
      <w:r>
        <w:t>B. Advise that the transaction should be stopped because cryptoassets in general are not regulated and by definition pose an unacceptable AML risk for the bank</w:t>
      </w:r>
    </w:p>
    <w:p>
      <w:pPr>
        <w:spacing w:line="360" w:lineRule="auto" w:after="20"/>
        <w:ind w:firstLine="283"/>
      </w:pPr>
      <w:r>
        <w:t>C. Confirm to the advisor that the customer can proceed with the transaction if the customer's KYC information is up to date and a search on a public blockchain explorer does not identify any adverse media</w:t>
      </w:r>
    </w:p>
    <w:p>
      <w:pPr>
        <w:spacing w:line="360" w:lineRule="auto" w:after="20"/>
        <w:ind w:firstLine="283"/>
      </w:pPr>
      <w:r>
        <w:t>D. Confirm to the advisor that the customer can proceed with the transaction because the customer has properly completed the KYC process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处理加密资产入金时需获取交易所尽调信息以评估风险</w:t>
      </w:r>
    </w:p>
    <w:p>
      <w:pPr>
        <w:spacing w:before="120" w:after="40"/>
      </w:pPr>
      <w:r>
        <w:rPr>
          <w:b/>
          <w:sz w:val="21"/>
          <w:shd w:fill="D6E4F0" w:val="clear"/>
        </w:rPr>
        <w:t>核心解析</w:t>
      </w:r>
    </w:p>
    <w:p>
      <w:pPr>
        <w:spacing w:line="360" w:lineRule="auto" w:after="40"/>
        <w:ind w:firstLine="420"/>
      </w:pPr>
      <w:r>
        <w:t>加密资产因假名性、跨境可达性及监管缺失，带来重大洗钱风险</w:t>
      </w:r>
      <w:r>
        <w:rPr>
          <w:sz w:val="15"/>
          <w:vertAlign w:val="superscript"/>
        </w:rPr>
        <w:t>P112</w:t>
      </w:r>
      <w:r>
        <w:t>。银行在客户转入加密资产所得时，必须评估剩余风险是否在可接受范围内，而评估的前提是获取足够的信息。教材举例说明，当金融机构有客户向高风险地区的加密资产服务商转账且无额外控制时，剩余风险高，机构需制定控制措施</w:t>
      </w:r>
      <w:r>
        <w:rPr>
          <w:sz w:val="15"/>
          <w:vertAlign w:val="superscript"/>
        </w:rPr>
        <w:t>P279</w:t>
      </w:r>
      <w:r>
        <w:t>。本题中，合规团队面对客户转卖币所得的请求，既不知道卖的是什么币（不同代币风险各异，P112），也不知道交易所是否对客户做过尽职调查——这是判断资金链路透明度和交易对手风险的关键。因此，建议“进一步澄清”这些关键信息，是评估剩余风险、决定下一步行动（放行、禁止或增强监控）的必要前置步骤，最符合教材展示的风险评估方法。</w:t>
      </w:r>
    </w:p>
    <w:p>
      <w:pPr>
        <w:spacing w:before="120" w:after="40"/>
      </w:pPr>
      <w:r>
        <w:rPr>
          <w:b/>
          <w:sz w:val="21"/>
          <w:shd w:fill="D6E4F0" w:val="clear"/>
        </w:rPr>
        <w:t>B项错误</w:t>
      </w:r>
    </w:p>
    <w:p>
      <w:pPr>
        <w:spacing w:line="360" w:lineRule="auto" w:after="40"/>
        <w:ind w:firstLine="420"/>
      </w:pPr>
      <w:r>
        <w:t>加密资产并非“总体上不受监管”，部分实体（如与美国客户交易的加密货币公司）须遵守《银行保密法》</w:t>
      </w:r>
      <w:r>
        <w:rPr>
          <w:sz w:val="15"/>
          <w:vertAlign w:val="superscript"/>
        </w:rPr>
        <w:t>P181</w:t>
      </w:r>
      <w:r>
        <w:t>，且银行可采用禁止与未注册商交易、增强监控等控制措施来管理风险而非一律拒绝</w:t>
      </w:r>
      <w:r>
        <w:rPr>
          <w:sz w:val="15"/>
          <w:vertAlign w:val="superscript"/>
        </w:rPr>
        <w:t>P279</w:t>
      </w:r>
      <w:r>
        <w:t>。直接停止交易的做法过于绝对，不如A项先求澄清再判断更符合风险为本的原则。</w:t>
      </w:r>
    </w:p>
    <w:p>
      <w:pPr>
        <w:spacing w:before="120" w:after="40"/>
      </w:pPr>
      <w:r>
        <w:rPr>
          <w:b/>
          <w:sz w:val="21"/>
          <w:shd w:fill="D6E4F0" w:val="clear"/>
        </w:rPr>
        <w:t>C项错误</w:t>
      </w:r>
    </w:p>
    <w:p>
      <w:pPr>
        <w:spacing w:line="360" w:lineRule="auto" w:after="40"/>
        <w:ind w:firstLine="420"/>
      </w:pPr>
      <w:r>
        <w:t>该选项给出的放行条件不够充分。教材指出，第三方区块链浏览器可能呈现虚假信息</w:t>
      </w:r>
      <w:r>
        <w:rPr>
          <w:sz w:val="15"/>
          <w:vertAlign w:val="superscript"/>
        </w:rPr>
        <w:t>P486</w:t>
      </w:r>
      <w:r>
        <w:t>，单纯在一次公开浏览器上搜索未发现负面新闻，不能作为风险可控的可靠依据。相比之下，A项直接获取交易所尽调情况，是在更上游、更直接地验证资金来源与交易对手的合规性。</w:t>
      </w:r>
    </w:p>
    <w:p>
      <w:pPr>
        <w:spacing w:before="120" w:after="40"/>
      </w:pPr>
      <w:r>
        <w:rPr>
          <w:b/>
          <w:sz w:val="21"/>
          <w:shd w:fill="D6E4F0" w:val="clear"/>
        </w:rPr>
        <w:t>D项错误</w:t>
      </w:r>
    </w:p>
    <w:p>
      <w:pPr>
        <w:spacing w:line="360" w:lineRule="auto" w:after="40"/>
        <w:ind w:firstLine="420"/>
      </w:pPr>
      <w:r>
        <w:t>客户完成常规KYC流程，仅建立了其身份与风险画像的基线。向银行转入大额加密资产销售款属于“触发事件”，教材要求在此时进行触发事件审查，依据客户信息变化、异常交易等重新评估风险</w:t>
      </w:r>
      <w:r>
        <w:rPr>
          <w:sz w:val="15"/>
          <w:vertAlign w:val="superscript"/>
        </w:rPr>
        <w:t>P358</w:t>
      </w:r>
      <w:r>
        <w:t>。仅凭KYC便确认可交易，忽视了加密资产交易本身带来的新增风险，不如A项主动收集增量信息来得审慎。</w:t>
      </w:r>
    </w:p>
    <w:p>
      <w:pPr>
        <w:spacing w:before="120" w:after="40"/>
      </w:pPr>
      <w:r>
        <w:rPr>
          <w:b/>
          <w:sz w:val="21"/>
          <w:shd w:fill="D6E4F0" w:val="clear"/>
        </w:rPr>
        <w:t>易错提醒</w:t>
      </w:r>
    </w:p>
    <w:p>
      <w:pPr>
        <w:spacing w:line="360" w:lineRule="auto" w:after="40"/>
        <w:ind w:firstLine="420"/>
      </w:pPr>
      <w:r>
        <w:t>常规定期KYC更新（如C、D项依赖的）不能替代基于加密资产入金这一“触发事件”所做的针对性审查</w:t>
      </w:r>
      <w:r>
        <w:rPr>
          <w:sz w:val="15"/>
          <w:vertAlign w:val="superscript"/>
        </w:rPr>
        <w:t>P358</w:t>
      </w:r>
      <w:r>
        <w:t>。触发事件审查要求结合事件本身（本次入金的币种、来源交易所等）去重新评估风险，而非仅确认资料的时效性。</w:t>
      </w:r>
    </w:p>
    <w:p>
      <w:pPr>
        <w:spacing w:line="360" w:lineRule="auto" w:after="120"/>
      </w:pPr>
      <w:r/>
    </w:p>
    <w:p>
      <w:pPr>
        <w:spacing w:line="360" w:lineRule="auto" w:after="40"/>
      </w:pPr>
      <w:r>
        <w:t>5. An annual risk assessment includes inherent risk, effectiveness of controls, and residual risk. The inherent risk is assessed as "moderate," and the effectiveness of controls is "less than satisfactory." What would the residual risk conclusion most likely be? ( )</w:t>
      </w:r>
    </w:p>
    <w:p>
      <w:pPr>
        <w:spacing w:line="360" w:lineRule="auto" w:after="20"/>
        <w:ind w:firstLine="283"/>
      </w:pPr>
      <w:r>
        <w:t>A. "Medium," because weak controls would result in the residual risk remaining unchanged</w:t>
      </w:r>
    </w:p>
    <w:p>
      <w:pPr>
        <w:spacing w:line="360" w:lineRule="auto" w:after="20"/>
        <w:ind w:firstLine="283"/>
      </w:pPr>
      <w:r>
        <w:t>B. "High," because weak controls would result in increased residual risk</w:t>
      </w:r>
    </w:p>
    <w:p>
      <w:pPr>
        <w:spacing w:line="360" w:lineRule="auto" w:after="20"/>
        <w:ind w:firstLine="283"/>
      </w:pPr>
      <w:r>
        <w:t>C. "Moderate," because the risk conclusions for specific areas may be increased</w:t>
      </w:r>
    </w:p>
    <w:p>
      <w:pPr>
        <w:spacing w:line="360" w:lineRule="auto" w:after="20"/>
        <w:ind w:firstLine="283"/>
      </w:pPr>
      <w:r>
        <w:t>D. "Low," because controls would lower the risk</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剩余风险=固有风险减去控制有效性，控制弱则剩余风险升高</w:t>
      </w:r>
    </w:p>
    <w:p>
      <w:pPr>
        <w:spacing w:before="120" w:after="40"/>
      </w:pPr>
      <w:r>
        <w:rPr>
          <w:b/>
          <w:sz w:val="21"/>
          <w:shd w:fill="D6E4F0" w:val="clear"/>
        </w:rPr>
        <w:t>核心解析</w:t>
      </w:r>
    </w:p>
    <w:p>
      <w:pPr>
        <w:spacing w:line="360" w:lineRule="auto" w:after="40"/>
        <w:ind w:firstLine="420"/>
      </w:pPr>
      <w:r>
        <w:t>剩余风险的计算公式为：固有风险减去控制有效性等于剩余风险</w:t>
      </w:r>
      <w:r>
        <w:rPr>
          <w:sz w:val="15"/>
          <w:vertAlign w:val="superscript"/>
        </w:rPr>
        <w:t>P278</w:t>
      </w:r>
      <w:r>
        <w:t>。教材进一步说明，剩余风险基于对固有风险以及缓解该风险的控制有效性的理解来计算</w:t>
      </w:r>
      <w:r>
        <w:rPr>
          <w:sz w:val="15"/>
          <w:vertAlign w:val="superscript"/>
        </w:rPr>
        <w:t>P279</w:t>
      </w:r>
      <w:r>
        <w:t>。这表示，当固有风险一定时，控制有效性越差，剩余风险就越高。本题固有风险为“中等”，控制有效性为“低于令人满意”——即控制未能充分降低风险。由此可推断：扣除的控制效果很少，剩余风险会高于固有风险，“高”是最可能出现的结论。</w:t>
      </w:r>
    </w:p>
    <w:p>
      <w:pPr>
        <w:spacing w:before="120" w:after="40"/>
      </w:pPr>
      <w:r>
        <w:rPr>
          <w:b/>
          <w:sz w:val="21"/>
          <w:shd w:fill="D6E4F0" w:val="clear"/>
        </w:rPr>
        <w:t>教材原句</w:t>
      </w:r>
    </w:p>
    <w:p>
      <w:pPr>
        <w:spacing w:line="360" w:lineRule="auto" w:after="40"/>
        <w:ind w:firstLine="420"/>
      </w:pPr>
      <w:r>
        <w:t>"The formula for calculating residual risk is: inherent risk minus control effectiveness equals residual risk (inherent risk – control effectiveness = residual risk)."</w:t>
      </w:r>
    </w:p>
    <w:p>
      <w:pPr>
        <w:spacing w:before="120" w:after="40"/>
      </w:pPr>
      <w:r>
        <w:rPr>
          <w:b/>
          <w:sz w:val="21"/>
          <w:shd w:fill="D6E4F0" w:val="clear"/>
        </w:rPr>
        <w:t>A项错误</w:t>
      </w:r>
    </w:p>
    <w:p>
      <w:pPr>
        <w:spacing w:line="360" w:lineRule="auto" w:after="40"/>
        <w:ind w:firstLine="420"/>
      </w:pPr>
      <w:r>
        <w:t>该选项认为控制薄弱会让剩余风险保持不变。但按照教材公式，控制有效性“低于令人满意”意味着可扣除的控制效果较少，剩余风险应升高而非保持不变，因此选项A的看法与教材公式的匹配度不如选项B直接。</w:t>
      </w:r>
    </w:p>
    <w:p>
      <w:pPr>
        <w:spacing w:before="120" w:after="40"/>
      </w:pPr>
      <w:r>
        <w:rPr>
          <w:b/>
          <w:sz w:val="21"/>
          <w:shd w:fill="D6E4F0" w:val="clear"/>
        </w:rPr>
        <w:t>C项错误</w:t>
      </w:r>
    </w:p>
    <w:p>
      <w:pPr>
        <w:spacing w:line="360" w:lineRule="auto" w:after="40"/>
        <w:ind w:firstLine="420"/>
      </w:pPr>
      <w:r>
        <w:t>该选项将结论依然定为“中等”，理由只是特定区域的风险结论可能增加。题干问的是整体剩余风险结论，并未提及仅评估特定区域，且控制有效性低于满意的情况下，整体剩余风险应趋于升高，而非停留在中等。相比之下，选项B的“高”更吻合教材对剩余风险计算的整体判断。</w:t>
      </w:r>
    </w:p>
    <w:p>
      <w:pPr>
        <w:spacing w:before="120" w:after="40"/>
      </w:pPr>
      <w:r>
        <w:rPr>
          <w:b/>
          <w:sz w:val="21"/>
          <w:shd w:fill="D6E4F0" w:val="clear"/>
        </w:rPr>
        <w:t>D项错误</w:t>
      </w:r>
    </w:p>
    <w:p>
      <w:pPr>
        <w:spacing w:line="360" w:lineRule="auto" w:after="40"/>
        <w:ind w:firstLine="420"/>
      </w:pPr>
      <w:r>
        <w:t>虽然理想状态下控制措施能够降低风险，但本题中控制有效性已被评为“低于令人满意”，说明现有控制未能有效降低风险，此时剩余风险不会处于低位，而更可能升高。因此选项D的“低”与该题干条件不匹配。</w:t>
      </w:r>
    </w:p>
    <w:p>
      <w:pPr>
        <w:spacing w:before="120" w:after="40"/>
      </w:pPr>
      <w:r>
        <w:rPr>
          <w:b/>
          <w:sz w:val="21"/>
          <w:shd w:fill="D6E4F0" w:val="clear"/>
        </w:rPr>
        <w:t>易错提醒</w:t>
      </w:r>
    </w:p>
    <w:p>
      <w:pPr>
        <w:spacing w:line="360" w:lineRule="auto" w:after="40"/>
        <w:ind w:firstLine="420"/>
      </w:pPr>
      <w:r>
        <w:t>容易误以为固有风险中等、控制薄弱时剩余风险仍为中等。但教材明确给出公式：剩余风险=固有风险−控制有效性</w:t>
      </w:r>
      <w:r>
        <w:rPr>
          <w:sz w:val="15"/>
          <w:vertAlign w:val="superscript"/>
        </w:rPr>
        <w:t>P278</w:t>
      </w:r>
      <w:r>
        <w:t>。控制低于满意意味着控制有效性低，扣除值小，因此剩余风险会高于固有风险，不应停留在中等水平。</w:t>
      </w:r>
    </w:p>
    <w:p>
      <w:pPr>
        <w:spacing w:line="360" w:lineRule="auto" w:after="120"/>
      </w:pPr>
      <w:r/>
    </w:p>
    <w:p>
      <w:pPr>
        <w:spacing w:line="360" w:lineRule="auto" w:after="40"/>
      </w:pPr>
      <w:r>
        <w:t>6. A financial institution is conducting an enterprise-wide risk assessment (EWRA) and has identified a high inherent risk of money laundering associated with its private banking division due to the clientele's high net worth and complex financial structures. However, the institution has implemented robust customer due diligence (CDD) and enhanced due diligence (EDD) procedures, along with sophisticated transaction monitoring systems. How would these controls impact the assessment of residual risk? ( )</w:t>
      </w:r>
    </w:p>
    <w:p>
      <w:pPr>
        <w:spacing w:line="360" w:lineRule="auto" w:after="20"/>
        <w:ind w:firstLine="283"/>
      </w:pPr>
      <w:r>
        <w:t>A. The residual risk would be eliminated entirely because the controls are sufficient to mitigate all potential risks.</w:t>
      </w:r>
    </w:p>
    <w:p>
      <w:pPr>
        <w:spacing w:line="360" w:lineRule="auto" w:after="20"/>
        <w:ind w:firstLine="283"/>
      </w:pPr>
      <w:r>
        <w:t>B. The residual risk would be significantly reduced due to the effectiveness of the existing controls.</w:t>
      </w:r>
    </w:p>
    <w:p>
      <w:pPr>
        <w:spacing w:line="360" w:lineRule="auto" w:after="20"/>
        <w:ind w:firstLine="283"/>
      </w:pPr>
      <w:r>
        <w:t>C. The residual risk would remain high due to the inherent nature of private banking.</w:t>
      </w:r>
    </w:p>
    <w:p>
      <w:pPr>
        <w:spacing w:line="360" w:lineRule="auto" w:after="20"/>
        <w:ind w:firstLine="283"/>
      </w:pPr>
      <w:r>
        <w:t>D. The residual risk would be moderately reduced, but may still require further controls to reach an acceptable level.</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理解剩余风险由固有风险与控制有效性共同决定</w:t>
      </w:r>
    </w:p>
    <w:p>
      <w:pPr>
        <w:spacing w:before="120" w:after="40"/>
      </w:pPr>
      <w:r>
        <w:rPr>
          <w:b/>
          <w:sz w:val="21"/>
          <w:shd w:fill="D6E4F0" w:val="clear"/>
        </w:rPr>
        <w:t>核心解析</w:t>
      </w:r>
    </w:p>
    <w:p>
      <w:pPr>
        <w:spacing w:line="360" w:lineRule="auto" w:after="40"/>
        <w:ind w:firstLine="420"/>
      </w:pPr>
      <w:r>
        <w:t>剩余风险的计算公式是：固有风险减去控制有效性等于剩余风险（Inherent risk – control effectiveness = residual risk）</w:t>
      </w:r>
      <w:r>
        <w:rPr>
          <w:sz w:val="15"/>
          <w:vertAlign w:val="superscript"/>
        </w:rPr>
        <w:t>P278</w:t>
      </w:r>
      <w:r>
        <w:t>。这意味着即使控制措施有效，也只能将风险降低到一定程度，无法完全消除固有风险。题干中，私人银行部门的固有洗钱风险高，机构实施了严格的CDD、EDD和交易监控措施。这些控制的有效执行会降低风险——正如教材案例中针对PEP实施EDD后剩余风险可降至中低水平</w:t>
      </w:r>
      <w:r>
        <w:rPr>
          <w:sz w:val="15"/>
          <w:vertAlign w:val="superscript"/>
        </w:rPr>
        <w:t>P278</w:t>
      </w:r>
      <w:r>
        <w:t>——但题干并未说明控制已完全消除风险敞口。组织在了解自己的剩余风险后，还需要判断该风险是否在容忍度内，或是否需要制定行动计划来进一步缓解风险</w:t>
      </w:r>
      <w:r>
        <w:rPr>
          <w:sz w:val="15"/>
          <w:vertAlign w:val="superscript"/>
        </w:rPr>
        <w:t>P279</w:t>
      </w:r>
      <w:r>
        <w:t>。因此，剩余风险会被适度降低，但可能仍需额外的控制措施才能达到可接受水平。选项D最直接地吻合这个动态评估逻辑。</w:t>
      </w:r>
    </w:p>
    <w:p>
      <w:pPr>
        <w:spacing w:before="120" w:after="40"/>
      </w:pPr>
      <w:r>
        <w:rPr>
          <w:b/>
          <w:sz w:val="21"/>
          <w:shd w:fill="D6E4F0" w:val="clear"/>
        </w:rPr>
        <w:t>教材原句</w:t>
      </w:r>
    </w:p>
    <w:p>
      <w:pPr>
        <w:spacing w:line="360" w:lineRule="auto" w:after="40"/>
        <w:ind w:firstLine="420"/>
      </w:pPr>
      <w:r>
        <w:t>"The formula for calculating residual risk is: inherent risk minus control effectiveness equals residual risk (inherent risk – control effectiveness = residual risk)."</w:t>
      </w:r>
    </w:p>
    <w:p>
      <w:pPr>
        <w:spacing w:before="120" w:after="40"/>
      </w:pPr>
      <w:r>
        <w:rPr>
          <w:b/>
          <w:sz w:val="21"/>
          <w:shd w:fill="D6E4F0" w:val="clear"/>
        </w:rPr>
        <w:t>A项错误</w:t>
      </w:r>
    </w:p>
    <w:p>
      <w:pPr>
        <w:spacing w:line="360" w:lineRule="auto" w:after="40"/>
        <w:ind w:firstLine="420"/>
      </w:pPr>
      <w:r>
        <w:t>控制措施旨在降低固有风险，但不能“完全消除”风险。教材说明应将风险降至与风险偏好一致的可接受水平</w:t>
      </w:r>
      <w:r>
        <w:rPr>
          <w:sz w:val="15"/>
          <w:vertAlign w:val="superscript"/>
        </w:rPr>
        <w:t>P278</w:t>
      </w:r>
      <w:r>
        <w:t>，且控制有效性受设计、运行等因素影响</w:t>
      </w:r>
      <w:r>
        <w:rPr>
          <w:sz w:val="15"/>
          <w:vertAlign w:val="superscript"/>
        </w:rPr>
        <w:t>P278</w:t>
      </w:r>
      <w:r>
        <w:t>，绝对消除不现实。</w:t>
      </w:r>
    </w:p>
    <w:p>
      <w:pPr>
        <w:spacing w:before="120" w:after="40"/>
      </w:pPr>
      <w:r>
        <w:rPr>
          <w:b/>
          <w:sz w:val="21"/>
          <w:shd w:fill="D6E4F0" w:val="clear"/>
        </w:rPr>
        <w:t>B项错误</w:t>
      </w:r>
    </w:p>
    <w:p>
      <w:pPr>
        <w:spacing w:line="360" w:lineRule="auto" w:after="40"/>
        <w:ind w:firstLine="420"/>
      </w:pPr>
      <w:r>
        <w:t>题干仅陈述控制措施已“实施”，未提供其有效性已得到验证且足以“显著”降低风险的具体证据。教材指出控制有效性取决于正确应用和全组织一致性</w:t>
      </w:r>
      <w:r>
        <w:rPr>
          <w:sz w:val="15"/>
          <w:vertAlign w:val="superscript"/>
        </w:rPr>
        <w:t>P278</w:t>
      </w:r>
      <w:r>
        <w:t>，且评估后可能仍发现设计缺陷</w:t>
      </w:r>
      <w:r>
        <w:rPr>
          <w:sz w:val="15"/>
          <w:vertAlign w:val="superscript"/>
        </w:rPr>
        <w:t>P279</w:t>
      </w:r>
      <w:r>
        <w:t>。选项D的“适度降低，但可能仍需进一步措施”比“显著降低”更吻合风险管理的审慎原则和教材的逐步评估流程。</w:t>
      </w:r>
    </w:p>
    <w:p>
      <w:pPr>
        <w:spacing w:before="120" w:after="40"/>
      </w:pPr>
      <w:r>
        <w:rPr>
          <w:b/>
          <w:sz w:val="21"/>
          <w:shd w:fill="D6E4F0" w:val="clear"/>
        </w:rPr>
        <w:t>C项错误</w:t>
      </w:r>
    </w:p>
    <w:p>
      <w:pPr>
        <w:spacing w:line="360" w:lineRule="auto" w:after="40"/>
        <w:ind w:firstLine="420"/>
      </w:pPr>
      <w:r>
        <w:t>该选项完全忽略了已实施的控制措施对降低风险的作用。私人银行确实因客户资产净值高和保密文化而存在较高固有风险</w:t>
      </w:r>
      <w:r>
        <w:rPr>
          <w:sz w:val="15"/>
          <w:vertAlign w:val="superscript"/>
        </w:rPr>
        <w:t>P71</w:t>
      </w:r>
      <w:r>
        <w:t>，但剩余风险的定义就是考虑了控制措施后的净风险</w:t>
      </w:r>
      <w:r>
        <w:rPr>
          <w:sz w:val="15"/>
          <w:vertAlign w:val="superscript"/>
        </w:rPr>
        <w:t>P278</w:t>
      </w:r>
      <w:r>
        <w:t>。题干明示已有控制措施，所以剩余风险不可能仍简单等同于居高不下的固有风险。</w:t>
      </w:r>
    </w:p>
    <w:p>
      <w:pPr>
        <w:spacing w:before="120" w:after="40"/>
      </w:pPr>
      <w:r>
        <w:rPr>
          <w:b/>
          <w:sz w:val="21"/>
          <w:shd w:fill="D6E4F0" w:val="clear"/>
        </w:rPr>
        <w:t>易错提醒</w:t>
      </w:r>
    </w:p>
    <w:p>
      <w:pPr>
        <w:spacing w:line="360" w:lineRule="auto" w:after="40"/>
        <w:ind w:firstLine="420"/>
      </w:pPr>
      <w:r>
        <w:t>核心是区分“固有风险”与“剩余风险”。固有风险指在没有采取任何控制措施的情况下，机构面临的风险敞口；而剩余风险是在采取了控制措施后仍然存在的净风险。考生容易在看到“实施了严格控制”后，直接跳到“风险显著降低”的结论，忽略了风险评估必须审慎确认控制有效性，并判断风险是否降至了可容忍水平。</w:t>
      </w:r>
    </w:p>
    <w:p>
      <w:pPr>
        <w:spacing w:line="360" w:lineRule="auto" w:after="120"/>
      </w:pPr>
      <w:r/>
    </w:p>
    <w:p>
      <w:pPr>
        <w:spacing w:line="360" w:lineRule="auto" w:after="40"/>
      </w:pPr>
      <w:r>
        <w:t>7. Having a risk-based approach is central to a financial institution's understanding of the money laundering and terrorist financing risks to which it is exposed. The development of a money laundering and terrorist financing risk assessment is a key starting point. Commonly used risk factors include: (Select three.) ( )</w:t>
      </w:r>
    </w:p>
    <w:p>
      <w:pPr>
        <w:spacing w:line="360" w:lineRule="auto" w:after="20"/>
        <w:ind w:firstLine="283"/>
      </w:pPr>
      <w:r>
        <w:t>A. Product risk.</w:t>
      </w:r>
    </w:p>
    <w:p>
      <w:pPr>
        <w:spacing w:line="360" w:lineRule="auto" w:after="20"/>
        <w:ind w:firstLine="283"/>
      </w:pPr>
      <w:r>
        <w:t>B. Credit risk.</w:t>
      </w:r>
    </w:p>
    <w:p>
      <w:pPr>
        <w:spacing w:line="360" w:lineRule="auto" w:after="20"/>
        <w:ind w:firstLine="283"/>
      </w:pPr>
      <w:r>
        <w:t>C. Geographic risk.</w:t>
      </w:r>
    </w:p>
    <w:p>
      <w:pPr>
        <w:spacing w:line="360" w:lineRule="auto" w:after="20"/>
        <w:ind w:firstLine="283"/>
      </w:pPr>
      <w:r>
        <w:t>D. Customer risk.</w:t>
      </w:r>
    </w:p>
    <w:p>
      <w:pPr>
        <w:spacing w:line="360" w:lineRule="auto" w:after="20"/>
        <w:ind w:firstLine="283"/>
      </w:pPr>
      <w:r>
        <w:t>E. Liquidity risk.</w:t>
      </w:r>
    </w:p>
    <w:p>
      <w:pPr>
        <w:spacing w:line="360" w:lineRule="auto" w:after="40"/>
      </w:pPr>
      <w:r>
        <w:t>答案：A、C、D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识别EWRA固有风险评估的四类风险因素（客户、地域、产品、渠道）</w:t>
      </w:r>
    </w:p>
    <w:p>
      <w:pPr>
        <w:spacing w:before="120" w:after="40"/>
      </w:pPr>
      <w:r>
        <w:rPr>
          <w:b/>
          <w:sz w:val="21"/>
          <w:shd w:fill="D6E4F0" w:val="clear"/>
        </w:rPr>
        <w:t>核心解析</w:t>
      </w:r>
    </w:p>
    <w:p>
      <w:pPr>
        <w:spacing w:line="360" w:lineRule="auto" w:after="40"/>
        <w:ind w:firstLine="420"/>
      </w:pPr>
      <w:r>
        <w:t>教材在描述机构层面风险评估（EWRA）确定固有风险的步骤时，要求收集客户、地域、产品和渠道四类数据并分析各类别的风险因素</w:t>
      </w:r>
      <w:r>
        <w:rPr>
          <w:sz w:val="15"/>
          <w:vertAlign w:val="superscript"/>
        </w:rPr>
        <w:t>P275</w:t>
      </w:r>
      <w:r>
        <w:t>。客户风险评级考虑行业、交易量、腐败指数和地理位置</w:t>
      </w:r>
      <w:r>
        <w:rPr>
          <w:sz w:val="15"/>
          <w:vertAlign w:val="superscript"/>
        </w:rPr>
        <w:t>P275</w:t>
      </w:r>
      <w:r>
        <w:t>；地域风险评估涉及政治稳定性、监管环境和制裁状况</w:t>
      </w:r>
      <w:r>
        <w:rPr>
          <w:sz w:val="15"/>
          <w:vertAlign w:val="superscript"/>
        </w:rPr>
        <w:t>P275</w:t>
      </w:r>
      <w:r>
        <w:t>；产品风险评估考虑复杂性、潜在滥用或对非法活动的吸引力</w:t>
      </w:r>
      <w:r>
        <w:rPr>
          <w:sz w:val="15"/>
          <w:vertAlign w:val="superscript"/>
        </w:rPr>
        <w:t>P275</w:t>
      </w:r>
      <w:r>
        <w:t>。同时，教材特别提醒：本书语境下的“风险”特指金融犯罪风险，包括洗钱风险、恐怖融资风险及其他类型的金融犯罪风险，与信用风险、流动性风险等传统金融风险分属不同范畴</w:t>
      </w:r>
      <w:r>
        <w:rPr>
          <w:sz w:val="15"/>
          <w:vertAlign w:val="superscript"/>
        </w:rPr>
        <w:t>P52</w:t>
      </w:r>
      <w:r>
        <w:t>。题干问的是洗钱和恐怖融资风险评估中常用的风险因素，A（产品风险）、C（地理风险）、D（客户风险）正好对应P275列出的四类风险评估维度中的三类，直接匹配教材的EWRA框架。</w:t>
      </w:r>
    </w:p>
    <w:p>
      <w:pPr>
        <w:spacing w:before="120" w:after="40"/>
      </w:pPr>
      <w:r>
        <w:rPr>
          <w:b/>
          <w:sz w:val="21"/>
          <w:shd w:fill="D6E4F0" w:val="clear"/>
        </w:rPr>
        <w:t>B项错误</w:t>
      </w:r>
    </w:p>
    <w:p>
      <w:pPr>
        <w:spacing w:line="360" w:lineRule="auto" w:after="40"/>
        <w:ind w:firstLine="420"/>
      </w:pPr>
      <w:r>
        <w:t>信用风险指借款人违约导致的潜在损失</w:t>
      </w:r>
      <w:r>
        <w:rPr>
          <w:sz w:val="15"/>
          <w:vertAlign w:val="superscript"/>
        </w:rPr>
        <w:t>P243</w:t>
      </w:r>
      <w:r>
        <w:t>，属于传统金融风险类型，并非洗钱/恐怖融资风险评估中常用的分类维度。若题干问的是金融机构整体风险管理中的风险类型，信用风险会直接入选；但在金融犯罪风险</w:t>
      </w:r>
      <w:r>
        <w:rPr>
          <w:sz w:val="15"/>
          <w:vertAlign w:val="superscript"/>
        </w:rPr>
        <w:t>P52</w:t>
      </w:r>
      <w:r>
        <w:t>的语境下，客户风险、地理风险、产品风险与教材EWRA框架的四类风险因素更吻合。</w:t>
      </w:r>
    </w:p>
    <w:p>
      <w:pPr>
        <w:spacing w:before="120" w:after="40"/>
      </w:pPr>
      <w:r>
        <w:rPr>
          <w:b/>
          <w:sz w:val="21"/>
          <w:shd w:fill="D6E4F0" w:val="clear"/>
        </w:rPr>
        <w:t>E项错误</w:t>
      </w:r>
    </w:p>
    <w:p>
      <w:pPr>
        <w:spacing w:line="360" w:lineRule="auto" w:after="40"/>
        <w:ind w:firstLine="420"/>
      </w:pPr>
      <w:r>
        <w:t>流动性风险指组织偿付金融义务的能力</w:t>
      </w:r>
      <w:r>
        <w:rPr>
          <w:sz w:val="15"/>
          <w:vertAlign w:val="superscript"/>
        </w:rPr>
        <w:t>P243</w:t>
      </w:r>
      <w:r>
        <w:t>，与信用风险一样属于传统金融风险范畴。教材在P52已明确术语“风险”特指金融犯罪风险，因此流动性风险与题干要求的洗钱/恐怖融资风险因素的匹配度不如产品、地理、客户风险直接。</w:t>
      </w:r>
    </w:p>
    <w:p>
      <w:pPr>
        <w:spacing w:before="120" w:after="40"/>
      </w:pPr>
      <w:r>
        <w:rPr>
          <w:b/>
          <w:sz w:val="21"/>
          <w:shd w:fill="D6E4F0" w:val="clear"/>
        </w:rPr>
        <w:t>易错提醒</w:t>
      </w:r>
    </w:p>
    <w:p>
      <w:pPr>
        <w:spacing w:line="360" w:lineRule="auto" w:after="40"/>
        <w:ind w:firstLine="420"/>
      </w:pPr>
      <w:r>
        <w:t>教材中存在两套“风险”概念体系：一是传统金融机构风险（信用风险、流动性风险、操作风险、市场风险等，见P243），二是金融犯罪风险（洗钱、恐怖融资、制裁违规等，见P52）。题干明确限定了洗钱和恐怖融资风险评估，应使用金融犯罪风险框架下的四类因素（客户、地域、产品、渠道，见P275）来判断，而非机构整体风险管理中的传统风险类型。</w:t>
      </w:r>
    </w:p>
    <w:p>
      <w:pPr>
        <w:spacing w:line="360" w:lineRule="auto" w:after="120"/>
      </w:pPr>
      <w:r/>
    </w:p>
    <w:p>
      <w:pPr>
        <w:spacing w:line="360" w:lineRule="auto" w:after="40"/>
      </w:pPr>
      <w:r>
        <w:t>8. Which risk factors should a financial institution (FI) examine for a new corporate customer intending to open a new bank account? (Select three.) ( )</w:t>
      </w:r>
    </w:p>
    <w:p>
      <w:pPr>
        <w:spacing w:line="360" w:lineRule="auto" w:after="20"/>
        <w:ind w:firstLine="283"/>
      </w:pPr>
      <w:r>
        <w:t>A. All the financial institutions where the new customer currently banks or banked previously.</w:t>
      </w:r>
    </w:p>
    <w:p>
      <w:pPr>
        <w:spacing w:line="360" w:lineRule="auto" w:after="20"/>
        <w:ind w:firstLine="283"/>
      </w:pPr>
      <w:r>
        <w:t>B. The type of business the corporate customer is engaged in.</w:t>
      </w:r>
    </w:p>
    <w:p>
      <w:pPr>
        <w:spacing w:line="360" w:lineRule="auto" w:after="20"/>
        <w:ind w:firstLine="283"/>
      </w:pPr>
      <w:r>
        <w:t>C. The employment profiles and information of all employees of the new customer.</w:t>
      </w:r>
    </w:p>
    <w:p>
      <w:pPr>
        <w:spacing w:line="360" w:lineRule="auto" w:after="20"/>
        <w:ind w:firstLine="283"/>
      </w:pPr>
      <w:r>
        <w:t>D. The country or location where the customer is from or conducts business.</w:t>
      </w:r>
    </w:p>
    <w:p>
      <w:pPr>
        <w:spacing w:line="360" w:lineRule="auto" w:after="20"/>
        <w:ind w:firstLine="283"/>
      </w:pPr>
      <w:r>
        <w:t>E. The identity of senior managing officials and all individuals authorized to operate the account.</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企业开户风险审查要素：业务类型、地域及管理层身份</w:t>
      </w:r>
    </w:p>
    <w:p>
      <w:pPr>
        <w:spacing w:before="120" w:after="40"/>
      </w:pPr>
      <w:r>
        <w:rPr>
          <w:b/>
          <w:sz w:val="21"/>
          <w:shd w:fill="D6E4F0" w:val="clear"/>
        </w:rPr>
        <w:t>核心解析</w:t>
      </w:r>
    </w:p>
    <w:p>
      <w:pPr>
        <w:spacing w:line="360" w:lineRule="auto" w:after="40"/>
        <w:ind w:firstLine="420"/>
      </w:pPr>
      <w:r>
        <w:t>客户风险评级一般考虑其行业、交易量、腐败指数和地理位置</w:t>
      </w:r>
      <w:r>
        <w:rPr>
          <w:sz w:val="15"/>
          <w:vertAlign w:val="superscript"/>
        </w:rPr>
        <w:t>P275</w:t>
      </w:r>
      <w:r>
        <w:t>。新企业客户的开户审查中，业务类型对应行业，客户所属或业务所在的国家/地区对应地理位置，因而构成核心风险维度。同时，法人客户尽职调查要求验证董事、高级管理层以及授权签字人的身份</w:t>
      </w:r>
      <w:r>
        <w:rPr>
          <w:sz w:val="15"/>
          <w:vertAlign w:val="superscript"/>
        </w:rPr>
        <w:t>P311</w:t>
      </w:r>
      <w:r>
        <w:t>。因此，选项B、D、E直接吻合这些审查要素。</w:t>
      </w:r>
    </w:p>
    <w:p>
      <w:pPr>
        <w:spacing w:before="120" w:after="40"/>
      </w:pPr>
      <w:r>
        <w:rPr>
          <w:b/>
          <w:sz w:val="21"/>
          <w:shd w:fill="D6E4F0" w:val="clear"/>
        </w:rPr>
        <w:t>A项错误</w:t>
      </w:r>
    </w:p>
    <w:p>
      <w:pPr>
        <w:spacing w:line="360" w:lineRule="auto" w:after="40"/>
        <w:ind w:firstLine="420"/>
      </w:pPr>
      <w:r>
        <w:t>教材风险评估步骤</w:t>
      </w:r>
      <w:r>
        <w:rPr>
          <w:sz w:val="15"/>
          <w:vertAlign w:val="superscript"/>
        </w:rPr>
        <w:t>P51</w:t>
      </w:r>
      <w:r>
        <w:t>和客户风险评级</w:t>
      </w:r>
      <w:r>
        <w:rPr>
          <w:sz w:val="15"/>
          <w:vertAlign w:val="superscript"/>
        </w:rPr>
        <w:t>P275</w:t>
      </w:r>
      <w:r>
        <w:t>关注的是客户自身的行业与地理因素，而非其过往或现有的往来金融机构。审查所有往来金融机构的要求未出现在开户风险因素的描述中，相比之下B、D、E与教材定义匹配更直接。</w:t>
      </w:r>
    </w:p>
    <w:p>
      <w:pPr>
        <w:spacing w:before="120" w:after="40"/>
      </w:pPr>
      <w:r>
        <w:rPr>
          <w:b/>
          <w:sz w:val="21"/>
          <w:shd w:fill="D6E4F0" w:val="clear"/>
        </w:rPr>
        <w:t>C项错误</w:t>
      </w:r>
    </w:p>
    <w:p>
      <w:pPr>
        <w:spacing w:line="360" w:lineRule="auto" w:after="40"/>
        <w:ind w:firstLine="420"/>
      </w:pPr>
      <w:r>
        <w:t>自然人CDD需收集就业信息</w:t>
      </w:r>
      <w:r>
        <w:rPr>
          <w:sz w:val="15"/>
          <w:vertAlign w:val="superscript"/>
        </w:rPr>
        <w:t>P309</w:t>
      </w:r>
      <w:r>
        <w:t>，但企业客户CDD仅需验证董事、高级管理层和授权签字人</w:t>
      </w:r>
      <w:r>
        <w:rPr>
          <w:sz w:val="15"/>
          <w:vertAlign w:val="superscript"/>
        </w:rPr>
        <w:t>P311</w:t>
      </w:r>
      <w:r>
        <w:t>，并不要求所有员工的就业情况。因此，选项C的范围远大于教材所界定的法人审查要素，不如E项精准。</w:t>
      </w:r>
    </w:p>
    <w:p>
      <w:pPr>
        <w:spacing w:before="120" w:after="40"/>
      </w:pPr>
      <w:r>
        <w:rPr>
          <w:b/>
          <w:sz w:val="21"/>
          <w:shd w:fill="D6E4F0" w:val="clear"/>
        </w:rPr>
        <w:t>易错提醒</w:t>
      </w:r>
    </w:p>
    <w:p>
      <w:pPr>
        <w:spacing w:line="360" w:lineRule="auto" w:after="40"/>
        <w:ind w:firstLine="420"/>
      </w:pPr>
      <w:r>
        <w:t>企业客户CDD聚焦于董事、高级管理层及授权签字人</w:t>
      </w:r>
      <w:r>
        <w:rPr>
          <w:sz w:val="15"/>
          <w:vertAlign w:val="superscript"/>
        </w:rPr>
        <w:t>P311</w:t>
      </w:r>
      <w:r>
        <w:t>，而非所有员工；自然人CDD才需要就业信息</w:t>
      </w:r>
      <w:r>
        <w:rPr>
          <w:sz w:val="15"/>
          <w:vertAlign w:val="superscript"/>
        </w:rPr>
        <w:t>P309</w:t>
      </w:r>
      <w:r>
        <w:t>。切勿将自然人要求套用于企业客户。</w:t>
      </w:r>
    </w:p>
    <w:p>
      <w:pPr>
        <w:spacing w:line="360" w:lineRule="auto" w:after="120"/>
      </w:pPr>
      <w:r/>
    </w:p>
    <w:p>
      <w:pPr>
        <w:spacing w:line="360" w:lineRule="auto" w:after="40"/>
      </w:pPr>
      <w:r>
        <w:t>9. Assessing the money laundering risk related to a product within the financial sector includes assessing the: (Select Two.) ( )</w:t>
      </w:r>
    </w:p>
    <w:p>
      <w:pPr>
        <w:spacing w:line="360" w:lineRule="auto" w:after="20"/>
        <w:ind w:firstLine="283"/>
      </w:pPr>
      <w:r>
        <w:t>A. Governance arrangements</w:t>
      </w:r>
    </w:p>
    <w:p>
      <w:pPr>
        <w:spacing w:line="360" w:lineRule="auto" w:after="20"/>
        <w:ind w:firstLine="283"/>
      </w:pPr>
      <w:r>
        <w:t>B. Complexity of the product</w:t>
      </w:r>
    </w:p>
    <w:p>
      <w:pPr>
        <w:spacing w:line="360" w:lineRule="auto" w:after="20"/>
        <w:ind w:firstLine="283"/>
      </w:pPr>
      <w:r>
        <w:t>C. Results of the last audit</w:t>
      </w:r>
    </w:p>
    <w:p>
      <w:pPr>
        <w:spacing w:line="360" w:lineRule="auto" w:after="20"/>
        <w:ind w:firstLine="283"/>
      </w:pPr>
      <w:r>
        <w:t>D. Financial status of the business</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产品洗钱风险评估的两个维度：固有特征与治理管控</w:t>
      </w:r>
    </w:p>
    <w:p>
      <w:pPr>
        <w:spacing w:before="120" w:after="40"/>
      </w:pPr>
      <w:r>
        <w:rPr>
          <w:b/>
          <w:sz w:val="21"/>
          <w:shd w:fill="D6E4F0" w:val="clear"/>
        </w:rPr>
        <w:t>核心解析</w:t>
      </w:r>
    </w:p>
    <w:p>
      <w:pPr>
        <w:spacing w:line="360" w:lineRule="auto" w:after="40"/>
        <w:ind w:firstLine="420"/>
      </w:pPr>
      <w:r>
        <w:t>评估某一金融产品的洗钱风险，教材从两个层面提供了框架：一是产品本身的固有风险特征，其中“复杂性”是直接考量因素——“确定产品风险，考虑产品的复杂性、潜在滥用或对非法活动的吸引力”</w:t>
      </w:r>
      <w:r>
        <w:rPr>
          <w:sz w:val="15"/>
          <w:vertAlign w:val="superscript"/>
        </w:rPr>
        <w:t>P275</w:t>
      </w:r>
      <w:r>
        <w:t>。题干中“产品的复杂性”选项直接命中了这一核心维度。二是围绕该产品的风险管理架构，FATF要求“合规项目应包括对洗钱和恐怖融资风险的公司治理和整体管理”</w:t>
      </w:r>
      <w:r>
        <w:rPr>
          <w:sz w:val="15"/>
          <w:vertAlign w:val="superscript"/>
        </w:rPr>
        <w:t>P339</w:t>
      </w:r>
      <w:r>
        <w:t>，教材随后在交易监控章节也明确“机构建立治理委员会以确保选择正确的场景和方法”</w:t>
      </w:r>
      <w:r>
        <w:rPr>
          <w:sz w:val="15"/>
          <w:vertAlign w:val="superscript"/>
        </w:rPr>
        <w:t>P449</w:t>
      </w:r>
      <w:r>
        <w:t>。这意味着评估一个产品的洗钱风险，不能只看产品本身有多复杂，还要看有没有相应的治理安排去管控这个产品的风险。A、B两项分别从“产品长什么样”和“谁来管、怎么管”两个角度完整覆盖了教材对产品风险评估的要求。</w:t>
      </w:r>
    </w:p>
    <w:p>
      <w:pPr>
        <w:spacing w:before="120" w:after="40"/>
      </w:pPr>
      <w:r>
        <w:rPr>
          <w:b/>
          <w:sz w:val="21"/>
          <w:shd w:fill="D6E4F0" w:val="clear"/>
        </w:rPr>
        <w:t>教材原句</w:t>
      </w:r>
    </w:p>
    <w:p>
      <w:pPr>
        <w:spacing w:line="360" w:lineRule="auto" w:after="40"/>
        <w:ind w:firstLine="420"/>
      </w:pPr>
      <w:r>
        <w:t>"To determine product risk, consider the complexity, potential misuse, or attractiveness of the product for illicit activities."</w:t>
      </w:r>
    </w:p>
    <w:p>
      <w:pPr>
        <w:spacing w:before="120" w:after="40"/>
      </w:pPr>
      <w:r>
        <w:rPr>
          <w:b/>
          <w:sz w:val="21"/>
          <w:shd w:fill="D6E4F0" w:val="clear"/>
        </w:rPr>
        <w:t>C项错误</w:t>
      </w:r>
    </w:p>
    <w:p>
      <w:pPr>
        <w:spacing w:line="360" w:lineRule="auto" w:after="40"/>
        <w:ind w:firstLine="420"/>
      </w:pPr>
      <w:r>
        <w:t>“独立审计”在教材中被列为反洗钱项目五大支柱之一，其作用是“定期测试和评估项目的有效性”</w:t>
      </w:r>
      <w:r>
        <w:rPr>
          <w:sz w:val="15"/>
          <w:vertAlign w:val="superscript"/>
        </w:rPr>
        <w:t>P244</w:t>
      </w:r>
      <w:r>
        <w:t>。审计结果反映的是整个合规项目运行得好不好，是一个事后的独立验证环节，而非产品风险评估本身的构成要素。题干问的是“评估产品相关的洗钱风险包括评估什么”，正确项更直接匹配教材对产品风险评估维度的定义。</w:t>
      </w:r>
    </w:p>
    <w:p>
      <w:pPr>
        <w:spacing w:before="120" w:after="40"/>
      </w:pPr>
      <w:r>
        <w:rPr>
          <w:b/>
          <w:sz w:val="21"/>
          <w:shd w:fill="D6E4F0" w:val="clear"/>
        </w:rPr>
        <w:t>D项错误</w:t>
      </w:r>
    </w:p>
    <w:p>
      <w:pPr>
        <w:spacing w:line="360" w:lineRule="auto" w:after="40"/>
        <w:ind w:firstLine="420"/>
      </w:pPr>
      <w:r>
        <w:t>教材在并购尽职调查场景下提到需验证“企业的财务状况”</w:t>
      </w:r>
      <w:r>
        <w:rPr>
          <w:sz w:val="15"/>
          <w:vertAlign w:val="superscript"/>
        </w:rPr>
        <w:t>P77</w:t>
      </w:r>
      <w:r>
        <w:t>，但这是针对交易对手方的尽职调查要求，不是评估金融产品本身洗钱风险的维度。题干未提及企业主体或并购场景，“企业的财务状况”与“产品的洗钱风险”在教材框架下分属不同的评估对象，缺乏直接匹配关系。</w:t>
      </w:r>
    </w:p>
    <w:p>
      <w:pPr>
        <w:spacing w:before="120" w:after="40"/>
      </w:pPr>
      <w:r>
        <w:rPr>
          <w:b/>
          <w:sz w:val="21"/>
          <w:shd w:fill="D6E4F0" w:val="clear"/>
        </w:rPr>
        <w:t>易错提醒</w:t>
      </w:r>
    </w:p>
    <w:p>
      <w:pPr>
        <w:spacing w:line="360" w:lineRule="auto" w:after="40"/>
        <w:ind w:firstLine="420"/>
      </w:pPr>
      <w:r>
        <w:t>治理安排（governance arrangements）在教材中出现在多个章节：P339将其定位为合规项目应“包括”的组成部分（企业层面），P449则具体描述治理委员会如何监督交易监控规则的选定和实施（产品/系统层面）。评估一个产品的洗钱风险时，“治理安排”既指企业层面是否有反洗钱治理架构来管理产品风险，也指围绕具体产品的治理委员会是否在有效运作。相比之下，审计结果是治理运行后的独立检验输出，而非治理安排本身。</w:t>
      </w:r>
    </w:p>
    <w:p>
      <w:pPr>
        <w:spacing w:line="360" w:lineRule="auto" w:after="120"/>
      </w:pPr>
      <w:r/>
    </w:p>
    <w:p>
      <w:pPr>
        <w:spacing w:line="360" w:lineRule="auto" w:after="40"/>
      </w:pPr>
      <w:r>
        <w:t>10. An institution is looking to alter an existing threshold-based monitoring scenario because it is generating too many alerts that do not yield suspicious activity reports. Documentation submitted to the relevant committee to support this proposal should include details on: (Choose Three.) ( )</w:t>
      </w:r>
    </w:p>
    <w:p>
      <w:pPr>
        <w:spacing w:line="360" w:lineRule="auto" w:after="20"/>
        <w:ind w:firstLine="283"/>
      </w:pPr>
      <w:r>
        <w:t>A. Evidence that the increased residual risk arising from the change is within the bank's risk appetite.</w:t>
      </w:r>
    </w:p>
    <w:p>
      <w:pPr>
        <w:spacing w:line="360" w:lineRule="auto" w:after="20"/>
        <w:ind w:firstLine="283"/>
      </w:pPr>
      <w:r>
        <w:t>B. Approval by the money-laundering reporting officer for the proposal.</w:t>
      </w:r>
    </w:p>
    <w:p>
      <w:pPr>
        <w:spacing w:line="360" w:lineRule="auto" w:after="20"/>
        <w:ind w:firstLine="283"/>
      </w:pPr>
      <w:r>
        <w:t>C. How many resources are spent on the less productive lower threshold and the associated costs.</w:t>
      </w:r>
    </w:p>
    <w:p>
      <w:pPr>
        <w:spacing w:line="360" w:lineRule="auto" w:after="20"/>
        <w:ind w:firstLine="283"/>
      </w:pPr>
      <w:r>
        <w:t>D. The number of cases that will not be filed and the resources that can be freed up for other tasks.</w:t>
      </w:r>
    </w:p>
    <w:p>
      <w:pPr>
        <w:spacing w:line="360" w:lineRule="auto" w:after="20"/>
        <w:ind w:firstLine="283"/>
      </w:pPr>
      <w:r>
        <w:t>E. Minutes of a meeting held with the regulator where agreement was obtained that the higher threshold was justified.</w:t>
      </w:r>
    </w:p>
    <w:p>
      <w:pPr>
        <w:spacing w:line="360" w:lineRule="auto" w:after="20"/>
        <w:ind w:firstLine="283"/>
      </w:pPr>
      <w:r>
        <w:t>F. Historical analysis proving that the current scenario generates a disproportionate number of false positives.</w:t>
      </w:r>
    </w:p>
    <w:p>
      <w:pPr>
        <w:spacing w:line="360" w:lineRule="auto" w:after="40"/>
      </w:pPr>
      <w:r>
        <w:t>答案：A、D、F</w:t>
      </w:r>
    </w:p>
    <w:p>
      <w:pPr>
        <w:spacing w:line="360" w:lineRule="auto" w:after="40"/>
      </w:pPr>
      <w:r>
        <w:t>解析：</w:t>
      </w:r>
    </w:p>
    <w:p>
      <w:pPr>
        <w:spacing w:before="120" w:after="40"/>
      </w:pPr>
      <w:r>
        <w:rPr>
          <w:b/>
          <w:sz w:val="21"/>
          <w:shd w:fill="D6E4F0" w:val="clear"/>
        </w:rPr>
        <w:t>考点</w:t>
      </w:r>
    </w:p>
    <w:p>
      <w:pPr>
        <w:spacing w:line="360" w:lineRule="auto" w:after="40"/>
        <w:ind w:firstLine="420"/>
      </w:pPr>
      <w:r>
        <w:t>变更监控阈值时向委员会提交的支撑文件要素</w:t>
      </w:r>
    </w:p>
    <w:p>
      <w:pPr>
        <w:spacing w:before="120" w:after="40"/>
      </w:pPr>
      <w:r>
        <w:rPr>
          <w:b/>
          <w:sz w:val="21"/>
          <w:shd w:fill="D6E4F0" w:val="clear"/>
        </w:rPr>
        <w:t>核心解析</w:t>
      </w:r>
    </w:p>
    <w:p>
      <w:pPr>
        <w:spacing w:line="360" w:lineRule="auto" w:after="40"/>
        <w:ind w:firstLine="420"/>
      </w:pPr>
      <w:r>
        <w:t>变更交易监控阈值会改变机构的剩余风险——即基于固有风险和控制有效性计算的风险敞口</w:t>
      </w:r>
      <w:r>
        <w:rPr>
          <w:sz w:val="15"/>
          <w:vertAlign w:val="superscript"/>
        </w:rPr>
        <w:t>P279</w:t>
      </w:r>
      <w:r>
        <w:t>。教材要求组织判断剩余风险是否在其风险偏好范围内，若超出则需要制定行动计划</w:t>
      </w:r>
      <w:r>
        <w:rPr>
          <w:sz w:val="15"/>
          <w:vertAlign w:val="superscript"/>
        </w:rPr>
        <w:t>P279</w:t>
      </w:r>
      <w:r>
        <w:t>。因此，提案文件必须证明变更带来的新增剩余风险仍在风险偏好之内（A）。同时，教材指出缺乏适当测试会导致监控场景过时，产生过多误报</w:t>
      </w:r>
      <w:r>
        <w:rPr>
          <w:sz w:val="15"/>
          <w:vertAlign w:val="superscript"/>
        </w:rPr>
        <w:t>P446</w:t>
      </w:r>
      <w:r>
        <w:t>。对当前场景导致过多误报的历史分析（F）是证明变更必要性的直接证据，也符合持续测试和调优的要求</w:t>
      </w:r>
      <w:r>
        <w:rPr>
          <w:sz w:val="15"/>
          <w:vertAlign w:val="superscript"/>
        </w:rPr>
        <w:t>P446</w:t>
      </w:r>
      <w:r>
        <w:t>。此外，合规资源配置是调优的核心考量：减少不必要的案件能释放人工审查资源，使合规团队聚焦高优先级案件</w:t>
      </w:r>
      <w:r>
        <w:rPr>
          <w:sz w:val="15"/>
          <w:vertAlign w:val="superscript"/>
        </w:rPr>
        <w:t>P455</w:t>
      </w:r>
      <w:r>
        <w:t>。文件说明“不会提起诉讼的案件数量以及释放的资源”（D），直接呼应了效率提升和资源合理分配的评估逻辑。三者共同构成向委员会提交的完整支撑——先证明问题存在（F），再说明变更带来的风险可控（A），最后展示释放的资源回报（D）。</w:t>
      </w:r>
    </w:p>
    <w:p>
      <w:pPr>
        <w:spacing w:before="120" w:after="40"/>
      </w:pPr>
      <w:r>
        <w:rPr>
          <w:b/>
          <w:sz w:val="21"/>
          <w:shd w:fill="D6E4F0" w:val="clear"/>
        </w:rPr>
        <w:t>教材原句</w:t>
      </w:r>
    </w:p>
    <w:p>
      <w:pPr>
        <w:spacing w:line="360" w:lineRule="auto" w:after="40"/>
        <w:ind w:firstLine="420"/>
      </w:pPr>
      <w:r>
        <w:t>"The organization will need to develop a control to mitigate this risk, so the residual risk is within risk appetite."</w:t>
      </w:r>
    </w:p>
    <w:p>
      <w:pPr>
        <w:spacing w:before="120" w:after="40"/>
      </w:pPr>
      <w:r>
        <w:rPr>
          <w:b/>
          <w:sz w:val="21"/>
          <w:shd w:fill="D6E4F0" w:val="clear"/>
        </w:rPr>
        <w:t>B项错误</w:t>
      </w:r>
    </w:p>
    <w:p>
      <w:pPr>
        <w:spacing w:line="360" w:lineRule="auto" w:after="40"/>
        <w:ind w:firstLine="420"/>
      </w:pPr>
      <w:r>
        <w:t>MLRO的角色是评估变更可能产生的案件数量并确保团队知情与资源配置</w:t>
      </w:r>
      <w:r>
        <w:rPr>
          <w:sz w:val="15"/>
          <w:vertAlign w:val="superscript"/>
        </w:rPr>
        <w:t>P224</w:t>
      </w:r>
      <w:r>
        <w:t>，而非对提案进行“批准”。教材在治理委员会章节明确将审批决策权归于相关委员会</w:t>
      </w:r>
      <w:r>
        <w:rPr>
          <w:sz w:val="15"/>
          <w:vertAlign w:val="superscript"/>
        </w:rPr>
        <w:t>P294</w:t>
      </w:r>
      <w:r>
        <w:t>，B项将MLRO的咨询评估职能误读为审批职能。</w:t>
      </w:r>
    </w:p>
    <w:p>
      <w:pPr>
        <w:spacing w:before="120" w:after="40"/>
      </w:pPr>
      <w:r>
        <w:rPr>
          <w:b/>
          <w:sz w:val="21"/>
          <w:shd w:fill="D6E4F0" w:val="clear"/>
        </w:rPr>
        <w:t>C项错误</w:t>
      </w:r>
    </w:p>
    <w:p>
      <w:pPr>
        <w:spacing w:line="360" w:lineRule="auto" w:after="40"/>
        <w:ind w:firstLine="420"/>
      </w:pPr>
      <w:r>
        <w:t>教材确实提到低效系统会推高成本、增加人工工作量</w:t>
      </w:r>
      <w:r>
        <w:rPr>
          <w:sz w:val="15"/>
          <w:vertAlign w:val="superscript"/>
        </w:rPr>
        <w:t>P383</w:t>
      </w:r>
      <w:r>
        <w:t>，但C项仅指向当前低阈值投入了多少资源的现状描述，不如F项“历史分析证明当前情形导致过多误报”直接构成变更的动力和证据。在提交委员会的文件中，先证明问题存在比描述现有投入更有说服力。</w:t>
      </w:r>
    </w:p>
    <w:p>
      <w:pPr>
        <w:spacing w:before="120" w:after="40"/>
      </w:pPr>
      <w:r>
        <w:rPr>
          <w:b/>
          <w:sz w:val="21"/>
          <w:shd w:fill="D6E4F0" w:val="clear"/>
        </w:rPr>
        <w:t>E项错误</w:t>
      </w:r>
    </w:p>
    <w:p>
      <w:pPr>
        <w:spacing w:line="360" w:lineRule="auto" w:after="40"/>
        <w:ind w:firstLine="420"/>
      </w:pPr>
      <w:r>
        <w:t>教材建议在引入新技术时“尽早并经常与监管机构沟通”</w:t>
      </w:r>
      <w:r>
        <w:rPr>
          <w:sz w:val="15"/>
          <w:vertAlign w:val="superscript"/>
        </w:rPr>
        <w:t>P387</w:t>
      </w:r>
      <w:r>
        <w:t>，但这属于系统实施过程中的外部沟通策略。题干聚焦的是向内部委员会提交的提案文件，而非监管审批议程。当委员会需要自主判断变更是否合理时，内部数据驱动的证据（如A、D、F）比监管会议纪要更直接匹配决策需求。</w:t>
      </w:r>
    </w:p>
    <w:p>
      <w:pPr>
        <w:spacing w:before="120" w:after="40"/>
      </w:pPr>
      <w:r>
        <w:rPr>
          <w:b/>
          <w:sz w:val="21"/>
          <w:shd w:fill="D6E4F0" w:val="clear"/>
        </w:rPr>
        <w:t>易错提醒</w:t>
      </w:r>
    </w:p>
    <w:p>
      <w:pPr>
        <w:spacing w:line="360" w:lineRule="auto" w:after="40"/>
        <w:ind w:firstLine="420"/>
      </w:pPr>
      <w:r>
        <w:t>MLRO负责评估变更影响和资源配置</w:t>
      </w:r>
      <w:r>
        <w:rPr>
          <w:sz w:val="15"/>
          <w:vertAlign w:val="superscript"/>
        </w:rPr>
        <w:t>P224</w:t>
      </w:r>
      <w:r>
        <w:t>，但变更的正式批准权在治理委员会</w:t>
      </w:r>
      <w:r>
        <w:rPr>
          <w:sz w:val="15"/>
          <w:vertAlign w:val="superscript"/>
        </w:rPr>
        <w:t>P294</w:t>
      </w:r>
      <w:r>
        <w:t>。两者角色不同——前者是操作层面的准备，后者是治理层面的决策。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