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CH09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A sound AML compliance program requires a comprehensive governance framework that addresses key elements to ensure the integrity of the financial system. Which element forms the starting point of an effective AML compliance program? ( )</w:t>
      </w:r>
    </w:p>
    <w:p>
      <w:pPr>
        <w:spacing w:line="360" w:lineRule="auto" w:after="20"/>
        <w:ind w:firstLine="283"/>
      </w:pPr>
      <w:r>
        <w:t>A. Ongoing monitoring</w:t>
      </w:r>
    </w:p>
    <w:p>
      <w:pPr>
        <w:spacing w:line="360" w:lineRule="auto" w:after="20"/>
        <w:ind w:firstLine="283"/>
      </w:pPr>
      <w:r>
        <w:t>B. Risk assessment</w:t>
      </w:r>
    </w:p>
    <w:p>
      <w:pPr>
        <w:spacing w:line="360" w:lineRule="auto" w:after="20"/>
        <w:ind w:firstLine="283"/>
      </w:pPr>
      <w:r>
        <w:t>C. Policies and procedures</w:t>
      </w:r>
    </w:p>
    <w:p>
      <w:pPr>
        <w:spacing w:line="360" w:lineRule="auto" w:after="20"/>
        <w:ind w:firstLine="283"/>
      </w:pPr>
      <w:r>
        <w:t>D. Suspicious activity reporting</w:t>
      </w:r>
    </w:p>
    <w:p>
      <w:pPr>
        <w:spacing w:line="360" w:lineRule="auto" w:after="20"/>
        <w:ind w:firstLine="283"/>
      </w:pPr>
      <w:r>
        <w:t>E. Customer due diligence</w:t>
      </w:r>
    </w:p>
    <w:p>
      <w:pPr>
        <w:spacing w:line="360" w:lineRule="auto" w:after="40"/>
      </w:pPr>
      <w:r>
        <w:t>答案：B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识别风险为本方法下，合规计划的起点是风险评估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教材明确指出，风险评估流程是强大风险管理项目的基础</w:t>
      </w:r>
      <w:r>
        <w:rPr>
          <w:sz w:val="15"/>
          <w:vertAlign w:val="superscript"/>
        </w:rPr>
        <w:t>P265</w:t>
      </w:r>
      <w:r>
        <w:t>。这意味着任何有效的反洗钱合规计划都以风险评估为逻辑起点——先识别、衡量和理解风险，才能决定配置哪些政策、程序、监控和报告资源。题干问的是“构成有效反洗钱合规计划的起点”，这与“风险评估流程是基础”直接吻合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"The risk assessment process is the foundation of a strong risk management program."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持续监测（Ongoing monitoring）是了解你的客户（KYC）的关键要素之一</w:t>
      </w:r>
      <w:r>
        <w:rPr>
          <w:sz w:val="15"/>
          <w:vertAlign w:val="superscript"/>
        </w:rPr>
        <w:t>P166</w:t>
      </w:r>
      <w:r>
        <w:t>，但它是在完成风险识别后的执行环节，而非整个合规计划的起点。在教材框架下，其定位更接近后续跟踪，因此不如风险评估直接充当起点。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政策与程序（Policies and procedures）是管理风险的指南，将法律要求转化为内部规定和操作步骤</w:t>
      </w:r>
      <w:r>
        <w:rPr>
          <w:sz w:val="15"/>
          <w:vertAlign w:val="superscript"/>
        </w:rPr>
        <w:t>P291</w:t>
      </w:r>
      <w:r>
        <w:t>。但其制定建立在风险评估结果之上，必须先明确风险所在才能设计对应政策，因此在逻辑顺序上较风险评估靠后。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</w:t>
      </w:r>
    </w:p>
    <w:p>
      <w:pPr>
        <w:spacing w:line="360" w:lineRule="auto" w:after="40"/>
        <w:ind w:firstLine="420"/>
      </w:pPr>
      <w:r>
        <w:t>可疑活动报告（Suspicious activity reporting）的确是金融犯罪防控报告体系的“基础”</w:t>
      </w:r>
      <w:r>
        <w:rPr>
          <w:sz w:val="15"/>
          <w:vertAlign w:val="superscript"/>
        </w:rPr>
        <w:t>P359</w:t>
      </w:r>
      <w:r>
        <w:t>，但它是针对已发现异常活动的反馈机制，整个合规计划需要先通过风险评估决定监测和上报的框架，才能有效运行该报告体系，故它不如风险评估直接对应“起点”。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</w:t>
      </w:r>
    </w:p>
    <w:p>
      <w:pPr>
        <w:spacing w:line="360" w:lineRule="auto" w:after="40"/>
        <w:ind w:firstLine="420"/>
      </w:pPr>
      <w:r>
        <w:t>客户尽职调查（Customer due diligence）是管理风险敞口的重要手段</w:t>
      </w:r>
      <w:r>
        <w:rPr>
          <w:sz w:val="15"/>
          <w:vertAlign w:val="superscript"/>
        </w:rPr>
        <w:t>P49</w:t>
      </w:r>
      <w:r>
        <w:t>，但其范围和深度的确定依赖风险评估的结果；未先评估整体风险，就无法以风险为本地开展尽调，因此它在顺序上位于风险评估之后。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