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 (EN)</w:t>
      </w:r>
    </w:p>
    <w:p>
      <w:pPr>
        <w:spacing w:line="360" w:lineRule="auto" w:after="160"/>
      </w:pPr>
      <w:r>
        <w:t>一、单项选择题</w:t>
      </w:r>
    </w:p>
    <w:p>
      <w:pPr>
        <w:spacing w:line="360" w:lineRule="auto" w:after="40"/>
      </w:pPr>
      <w:r>
        <w:t>1. A risk-based approach (RBA) to anti-financial crime (AFC) involves understanding and managing risks by: ( )</w:t>
      </w:r>
    </w:p>
    <w:p>
      <w:pPr>
        <w:spacing w:line="360" w:lineRule="auto" w:after="20"/>
        <w:ind w:firstLine="283"/>
      </w:pPr>
      <w:r>
        <w:t>A. Applying uniform controls to all customers, regardless of their risk profile</w:t>
      </w:r>
    </w:p>
    <w:p>
      <w:pPr>
        <w:spacing w:line="360" w:lineRule="auto" w:after="20"/>
        <w:ind w:firstLine="283"/>
      </w:pPr>
      <w:r>
        <w:t>B. Allocating resources and implementing controls based on the level of identified risks</w:t>
      </w:r>
    </w:p>
    <w:p>
      <w:pPr>
        <w:spacing w:line="360" w:lineRule="auto" w:after="20"/>
        <w:ind w:firstLine="283"/>
      </w:pPr>
      <w:r>
        <w:t>C. Prioritizing regulatory compliance over customer experience and operational efficiency</w:t>
      </w:r>
    </w:p>
    <w:p>
      <w:pPr>
        <w:spacing w:line="360" w:lineRule="auto" w:after="20"/>
        <w:ind w:firstLine="283"/>
      </w:pPr>
      <w:r>
        <w:t>D. Relying on automated systems to detect and mitigate AFC risks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风险为本方法的核心是按风险程度分配资源与控制措施</w:t>
      </w:r>
    </w:p>
    <w:p>
      <w:pPr>
        <w:spacing w:before="120" w:after="40"/>
      </w:pPr>
      <w:r>
        <w:rPr>
          <w:b/>
          <w:sz w:val="21"/>
          <w:shd w:fill="D6E4F0" w:val="clear"/>
        </w:rPr>
        <w:t>核心解析</w:t>
      </w:r>
    </w:p>
    <w:p>
      <w:pPr>
        <w:spacing w:line="360" w:lineRule="auto" w:after="40"/>
        <w:ind w:firstLine="420"/>
      </w:pPr>
      <w:r>
        <w:t>风险为本方法指在识别最高风险后优先分配资源加以应对的过程</w:t>
      </w:r>
      <w:r>
        <w:rPr>
          <w:sz w:val="15"/>
          <w:vertAlign w:val="superscript"/>
        </w:rPr>
        <w:t>P381</w:t>
      </w:r>
      <w:r>
        <w:t>，并要求机构根据自身风险暴露程度优先排序并采取适当措施</w:t>
      </w:r>
      <w:r>
        <w:rPr>
          <w:sz w:val="15"/>
          <w:vertAlign w:val="superscript"/>
        </w:rPr>
        <w:t>P267</w:t>
      </w:r>
      <w:r>
        <w:t>。题干问及“通过何种方式了解和管理风险”，选项B直接对应了根据已识别风险的高低来分配资源并实施控制，这与教材对风险为本方法的定义完全吻合，因此成立。</w:t>
      </w:r>
    </w:p>
    <w:p>
      <w:pPr>
        <w:spacing w:before="120" w:after="40"/>
      </w:pPr>
      <w:r>
        <w:rPr>
          <w:b/>
          <w:sz w:val="21"/>
          <w:shd w:fill="D6E4F0" w:val="clear"/>
        </w:rPr>
        <w:t>教材原句</w:t>
      </w:r>
    </w:p>
    <w:p>
      <w:pPr>
        <w:spacing w:line="360" w:lineRule="auto" w:after="40"/>
        <w:ind w:firstLine="420"/>
      </w:pPr>
      <w:r>
        <w:t>"A risk-based approach refers to the process of identifying the highest risks and prioritizing resources to address them."</w:t>
      </w:r>
    </w:p>
    <w:p>
      <w:pPr>
        <w:spacing w:before="120" w:after="40"/>
      </w:pPr>
      <w:r>
        <w:rPr>
          <w:b/>
          <w:sz w:val="21"/>
          <w:shd w:fill="D6E4F0" w:val="clear"/>
        </w:rPr>
        <w:t>A项错误</w:t>
      </w:r>
    </w:p>
    <w:p>
      <w:pPr>
        <w:spacing w:line="360" w:lineRule="auto" w:after="40"/>
        <w:ind w:firstLine="420"/>
      </w:pPr>
      <w:r>
        <w:t>选项A主张对所有客户实施统一控制且不考虑风险状况。教材强调风险为本方法要求根据风险水平差异化调整措施</w:t>
      </w:r>
      <w:r>
        <w:rPr>
          <w:sz w:val="15"/>
          <w:vertAlign w:val="superscript"/>
        </w:rPr>
        <w:t>P270</w:t>
      </w:r>
      <w:r>
        <w:t>，而非采用一成不变的统一控制，因此A与风险为本方法的核心精神匹配度不如B。</w:t>
      </w:r>
    </w:p>
    <w:p>
      <w:pPr>
        <w:spacing w:before="120" w:after="40"/>
      </w:pPr>
      <w:r>
        <w:rPr>
          <w:b/>
          <w:sz w:val="21"/>
          <w:shd w:fill="D6E4F0" w:val="clear"/>
        </w:rPr>
        <w:t>C项错误</w:t>
      </w:r>
    </w:p>
    <w:p>
      <w:pPr>
        <w:spacing w:line="360" w:lineRule="auto" w:after="40"/>
        <w:ind w:firstLine="420"/>
      </w:pPr>
      <w:r>
        <w:t>风险为本方法重在识别风险后按优先级配置资源，而非简单地将监管合规凌驾于客户体验和运营效率之上。教材指出，采用新技术时可在保持运营效率的同时确保合规</w:t>
      </w:r>
      <w:r>
        <w:rPr>
          <w:sz w:val="15"/>
          <w:vertAlign w:val="superscript"/>
        </w:rPr>
        <w:t>P435</w:t>
      </w:r>
      <w:r>
        <w:t>，所以C对这一平衡关系的表述不如B贴近风险为本方法的本质。</w:t>
      </w:r>
    </w:p>
    <w:p>
      <w:pPr>
        <w:spacing w:before="120" w:after="40"/>
      </w:pPr>
      <w:r>
        <w:rPr>
          <w:b/>
          <w:sz w:val="21"/>
          <w:shd w:fill="D6E4F0" w:val="clear"/>
        </w:rPr>
        <w:t>D项错误</w:t>
      </w:r>
    </w:p>
    <w:p>
      <w:pPr>
        <w:spacing w:line="360" w:lineRule="auto" w:after="40"/>
        <w:ind w:firstLine="420"/>
      </w:pPr>
      <w:r>
        <w:t>依靠自动化系统是实施风险控制的一种可能手段，但教材在定义风险为本方法时并无此限定，而是指出选择技术前需先进行针对性风险评估</w:t>
      </w:r>
      <w:r>
        <w:rPr>
          <w:sz w:val="15"/>
          <w:vertAlign w:val="superscript"/>
        </w:rPr>
        <w:t>P381</w:t>
      </w:r>
      <w:r>
        <w:t>。因此D将某类工具上升到方法本身的层面，不如B直接体现风险为本方法的定义。</w:t>
      </w:r>
    </w:p>
    <w:p>
      <w:pPr>
        <w:spacing w:before="120" w:after="40"/>
      </w:pPr>
      <w:r>
        <w:rPr>
          <w:b/>
          <w:sz w:val="21"/>
          <w:shd w:fill="D6E4F0" w:val="clear"/>
        </w:rPr>
        <w:t>易错提醒</w:t>
      </w:r>
    </w:p>
    <w:p>
      <w:pPr>
        <w:spacing w:line="360" w:lineRule="auto" w:after="40"/>
        <w:ind w:firstLine="420"/>
      </w:pPr>
      <w:r>
        <w:t>风险为本方法不等于统一控制，也不等于依赖特定技术；其核心是根据已识别风险的程度差异化分配资源与控制力度。</w:t>
      </w:r>
    </w:p>
    <w:p>
      <w:pPr>
        <w:spacing w:line="360" w:lineRule="auto" w:after="120"/>
      </w:pPr>
      <w:r/>
    </w:p>
    <w:p>
      <w:pPr>
        <w:spacing w:line="360" w:lineRule="auto" w:after="40"/>
      </w:pPr>
      <w:r>
        <w:t>2. It is important for financial institutions (FIs) to be aware of anti-financial crime (AFC) and sanctions regulatory regimes in other jurisdictions in order to: ( )</w:t>
      </w:r>
    </w:p>
    <w:p>
      <w:pPr>
        <w:spacing w:line="360" w:lineRule="auto" w:after="20"/>
        <w:ind w:firstLine="283"/>
      </w:pPr>
      <w:r>
        <w:t>A. Maintain compliance with the AFC and sanctions requirements of all countries where the FI operates or has business relationships and avoid penalties for violations in foreign jurisdictions</w:t>
      </w:r>
    </w:p>
    <w:p>
      <w:pPr>
        <w:spacing w:line="360" w:lineRule="auto" w:after="20"/>
        <w:ind w:firstLine="283"/>
      </w:pPr>
      <w:r>
        <w:t>B. Ensure that sanctions regimes are applied selectively based on the regulatory standards of the countries where business activities occur, focusing primarily on aligned jurisdictions</w:t>
      </w:r>
    </w:p>
    <w:p>
      <w:pPr>
        <w:spacing w:line="360" w:lineRule="auto" w:after="20"/>
        <w:ind w:firstLine="283"/>
      </w:pPr>
      <w:r>
        <w:t>C. Compensate for the limited applicability of AFC and sanctions regulations on cross-border transactions and their reduced relevance to domestic business in other jurisdictions</w:t>
      </w:r>
    </w:p>
    <w:p>
      <w:pPr>
        <w:spacing w:line="360" w:lineRule="auto" w:after="20"/>
        <w:ind w:firstLine="283"/>
      </w:pPr>
      <w:r>
        <w:t>D. Ensure that FIs can manage business relationships in jurisdictions with stricter or more lenient regulations than their home jurisdiction, providing operational flexibility</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识别了解多辖区AFC/制裁法规的根本目的：全面合规与避免处罚</w:t>
      </w:r>
    </w:p>
    <w:p>
      <w:pPr>
        <w:spacing w:before="120" w:after="40"/>
      </w:pPr>
      <w:r>
        <w:rPr>
          <w:b/>
          <w:sz w:val="21"/>
          <w:shd w:fill="D6E4F0" w:val="clear"/>
        </w:rPr>
        <w:t>核心解析</w:t>
      </w:r>
    </w:p>
    <w:p>
      <w:pPr>
        <w:spacing w:line="360" w:lineRule="auto" w:after="40"/>
        <w:ind w:firstLine="420"/>
      </w:pPr>
      <w:r>
        <w:t>金融机构必须保持对多个司法管辖区金融犯罪防控法规的更新，以确保合规并有效管理风险</w:t>
      </w:r>
      <w:r>
        <w:rPr>
          <w:sz w:val="15"/>
          <w:vertAlign w:val="superscript"/>
        </w:rPr>
        <w:t>P388</w:t>
      </w:r>
      <w:r>
        <w:t>。题干问的正是“了解其他司法管辖区的AFC和制裁监管制度”的目的，这与教材强调的“确保在所有运营或存在业务关系的国家均符合反洗钱和制裁要求”完全一致；不遵守外国规定可能招致民事罚款、个人起诉甚至被列为制裁目标</w:t>
      </w:r>
      <w:r>
        <w:rPr>
          <w:sz w:val="15"/>
          <w:vertAlign w:val="superscript"/>
        </w:rPr>
        <w:t>P23</w:t>
      </w:r>
      <w:r>
        <w:t>。因此，选项A“确保遵守 FI 在其运营或有业务关系的所有国家的反洗钱和制裁要求，以避免因违反外国司法管辖区的规定而受到处罚”直接对应了这一义务。跨国机构在制定政策时也必须使自身制度符合各国法律，必要时还需在某些司法管辖区实施更高标准</w:t>
      </w:r>
      <w:r>
        <w:rPr>
          <w:sz w:val="15"/>
          <w:vertAlign w:val="superscript"/>
        </w:rPr>
        <w:t>P292</w:t>
      </w:r>
      <w:r>
        <w:t>，但这一切的出发点都是全面合规和规避处罚，不是选择性适用规则，也不是为了运营灵活性。</w:t>
      </w:r>
    </w:p>
    <w:p>
      <w:pPr>
        <w:spacing w:before="120" w:after="40"/>
      </w:pPr>
      <w:r>
        <w:rPr>
          <w:b/>
          <w:sz w:val="21"/>
          <w:shd w:fill="D6E4F0" w:val="clear"/>
        </w:rPr>
        <w:t>教材原句</w:t>
      </w:r>
    </w:p>
    <w:p>
      <w:pPr>
        <w:spacing w:line="360" w:lineRule="auto" w:after="40"/>
        <w:ind w:firstLine="420"/>
      </w:pPr>
      <w:r>
        <w:t>"Financial institutions must stay up to date with AFC regulations across multiple jurisdictions to ensure compliance and manage risks effectively."</w:t>
      </w:r>
    </w:p>
    <w:p>
      <w:pPr>
        <w:spacing w:before="120" w:after="40"/>
      </w:pPr>
      <w:r>
        <w:rPr>
          <w:b/>
          <w:sz w:val="21"/>
          <w:shd w:fill="D6E4F0" w:val="clear"/>
        </w:rPr>
        <w:t>B项错误</w:t>
      </w:r>
    </w:p>
    <w:p>
      <w:pPr>
        <w:spacing w:line="360" w:lineRule="auto" w:after="40"/>
        <w:ind w:firstLine="420"/>
      </w:pPr>
      <w:r>
        <w:t>选项B主张“有选择地实施制裁制度，重点针对与本国监管标准一致的司法管辖区”，这与教材“跨国机构需使政策符合各国法律，同时维持全球金融犯罪防控原则”的要求相悖</w:t>
      </w:r>
      <w:r>
        <w:rPr>
          <w:sz w:val="15"/>
          <w:vertAlign w:val="superscript"/>
        </w:rPr>
        <w:t>P292</w:t>
      </w:r>
      <w:r>
        <w:t>。了解其他辖区制度的目的恰恰是避免因为只关注一致的法律而忽略不一致法规所导致的合规缺口，题干条件更直接支持全面合规而非选择性适用。</w:t>
      </w:r>
    </w:p>
    <w:p>
      <w:pPr>
        <w:spacing w:before="120" w:after="40"/>
      </w:pPr>
      <w:r>
        <w:rPr>
          <w:b/>
          <w:sz w:val="21"/>
          <w:shd w:fill="D6E4F0" w:val="clear"/>
        </w:rPr>
        <w:t>C项错误</w:t>
      </w:r>
    </w:p>
    <w:p>
      <w:pPr>
        <w:spacing w:line="360" w:lineRule="auto" w:after="40"/>
        <w:ind w:firstLine="420"/>
      </w:pPr>
      <w:r>
        <w:t>选项C提到“补偿自动封禁和制裁规定在跨境交易中的有限适用性”，而教材的逻辑是跨境交易本身使得企业必须考虑多个司法辖区的法规</w:t>
      </w:r>
      <w:r>
        <w:rPr>
          <w:sz w:val="15"/>
          <w:vertAlign w:val="superscript"/>
        </w:rPr>
        <w:t>P178</w:t>
      </w:r>
      <w:r>
        <w:t>，而不是因为法规的适用性有限才去了解。教材从未将了解外国制度描述为一种补偿机制；相比之下，选项A强调的遵守所有相关国家要求更吻合教材对跨辖区合规的解释。</w:t>
      </w:r>
    </w:p>
    <w:p>
      <w:pPr>
        <w:spacing w:before="120" w:after="40"/>
      </w:pPr>
      <w:r>
        <w:rPr>
          <w:b/>
          <w:sz w:val="21"/>
          <w:shd w:fill="D6E4F0" w:val="clear"/>
        </w:rPr>
        <w:t>D项错误</w:t>
      </w:r>
    </w:p>
    <w:p>
      <w:pPr>
        <w:spacing w:line="360" w:lineRule="auto" w:after="40"/>
        <w:ind w:firstLine="420"/>
      </w:pPr>
      <w:r>
        <w:t>选项D落脚于“实现运营灵活性”，而教材指出犯罪分子会利用监管宽松的司法管辖区进行监管套利</w:t>
      </w:r>
      <w:r>
        <w:rPr>
          <w:sz w:val="15"/>
          <w:vertAlign w:val="superscript"/>
        </w:rPr>
        <w:t>P434</w:t>
      </w:r>
      <w:r>
        <w:t>，金融机构了解这些差异主要是为了管理风险、执行一致的全球标准而非获取灵活性。跨国合规的立足点是“确保遵守所有法律和报告要求”</w:t>
      </w:r>
      <w:r>
        <w:rPr>
          <w:sz w:val="15"/>
          <w:vertAlign w:val="superscript"/>
        </w:rPr>
        <w:t>P356</w:t>
      </w:r>
      <w:r>
        <w:t>，而不是利用监管差异追求运营便利。因此，正确项A比D更直接反映题干问的“以便”所要达成的合规目的。</w:t>
      </w:r>
    </w:p>
    <w:p>
      <w:pPr>
        <w:spacing w:before="120" w:after="40"/>
      </w:pPr>
      <w:r>
        <w:rPr>
          <w:b/>
          <w:sz w:val="21"/>
          <w:shd w:fill="D6E4F0" w:val="clear"/>
        </w:rPr>
        <w:t>易错提醒</w:t>
      </w:r>
    </w:p>
    <w:p>
      <w:pPr>
        <w:spacing w:line="360" w:lineRule="auto" w:after="40"/>
        <w:ind w:firstLine="420"/>
      </w:pPr>
      <w:r>
        <w:t>有些选项把“了解多辖区法规”理解为可以从中选择性地遵守或利用差异获得灵活性，但教材的核心出发点是“金融机构必须及时了解多个司法辖区的金融犯罪防控法规，以确保合规并有效管理风险”</w:t>
      </w:r>
      <w:r>
        <w:rPr>
          <w:sz w:val="15"/>
          <w:vertAlign w:val="superscript"/>
        </w:rPr>
        <w:t>P388</w:t>
      </w:r>
      <w:r>
        <w:t>，目的是无一遗漏地满足所有涉及辖区的法律要求，而不是为了挑选对自己有利的规则。</w:t>
      </w:r>
    </w:p>
    <w:p>
      <w:pPr>
        <w:spacing w:line="360" w:lineRule="auto" w:after="120"/>
      </w:pPr>
      <w:r/>
    </w:p>
    <w:p>
      <w:pPr>
        <w:spacing w:line="360" w:lineRule="auto" w:after="40"/>
      </w:pPr>
      <w:r>
        <w:t>3. When selecting an anti-financial crime (AFC) tool for an organization, the most important factor to consider is whether the tool: ( )</w:t>
      </w:r>
    </w:p>
    <w:p>
      <w:pPr>
        <w:spacing w:line="360" w:lineRule="auto" w:after="20"/>
        <w:ind w:firstLine="283"/>
      </w:pPr>
      <w:r>
        <w:t>A. Integrates seamlessly with existing systems and processes.</w:t>
      </w:r>
    </w:p>
    <w:p>
      <w:pPr>
        <w:spacing w:line="360" w:lineRule="auto" w:after="20"/>
        <w:ind w:firstLine="283"/>
      </w:pPr>
      <w:r>
        <w:t>B. Meets budget and cost requirements.</w:t>
      </w:r>
    </w:p>
    <w:p>
      <w:pPr>
        <w:spacing w:line="360" w:lineRule="auto" w:after="20"/>
        <w:ind w:firstLine="283"/>
      </w:pPr>
      <w:r>
        <w:t>C. Automates all regulatory reporting requirements.</w:t>
      </w:r>
    </w:p>
    <w:p>
      <w:pPr>
        <w:spacing w:line="360" w:lineRule="auto" w:after="20"/>
        <w:ind w:firstLine="283"/>
      </w:pPr>
      <w:r>
        <w:t>D. Replaces manual compliance training for employees.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评估AFC技术时，与现有系统集成是教材指出的最关键因素</w:t>
      </w:r>
    </w:p>
    <w:p>
      <w:pPr>
        <w:spacing w:before="120" w:after="40"/>
      </w:pPr>
      <w:r>
        <w:rPr>
          <w:b/>
          <w:sz w:val="21"/>
          <w:shd w:fill="D6E4F0" w:val="clear"/>
        </w:rPr>
        <w:t>核心解析</w:t>
      </w:r>
    </w:p>
    <w:p>
      <w:pPr>
        <w:spacing w:line="360" w:lineRule="auto" w:after="40"/>
        <w:ind w:firstLine="420"/>
      </w:pPr>
      <w:r>
        <w:t>教材在P389列出评估新AFC技术的四个关键考量：可扩展性（scalability）、灵活架构（flexible architecture）、集成（integration）与协作（collaboration）。其中，集成的要求是简化工作流、确保工具与数据集之间的互操作性</w:t>
      </w:r>
      <w:r>
        <w:rPr>
          <w:sz w:val="15"/>
          <w:vertAlign w:val="superscript"/>
        </w:rPr>
        <w:t>P390</w:t>
      </w:r>
      <w:r>
        <w:t>。教材进一步指出，与现有合规系统无缝集成有助于金融机构保持反洗钱策略一致性，避免运营中断</w:t>
      </w:r>
      <w:r>
        <w:rPr>
          <w:sz w:val="15"/>
          <w:vertAlign w:val="superscript"/>
        </w:rPr>
        <w:t>P455</w:t>
      </w:r>
      <w:r>
        <w:t>。题干问的是选择AFC工具时“最重要”的因素，而教材框架中，“集成”被列为四大核心考量之一，且其定义直接对应选项A“与现有系统和流程无缝集成”。相比之下，预算、自动化报告、替代培训在教材中均未被列为评估技术时的首要或核心考量，因此A的匹配度最高。</w:t>
      </w:r>
    </w:p>
    <w:p>
      <w:pPr>
        <w:spacing w:before="120" w:after="40"/>
      </w:pPr>
      <w:r>
        <w:rPr>
          <w:b/>
          <w:sz w:val="21"/>
          <w:shd w:fill="D6E4F0" w:val="clear"/>
        </w:rPr>
        <w:t>B项错误</w:t>
      </w:r>
    </w:p>
    <w:p>
      <w:pPr>
        <w:spacing w:line="360" w:lineRule="auto" w:after="40"/>
        <w:ind w:firstLine="420"/>
      </w:pPr>
      <w:r>
        <w:t>教材提及AFC合规支出应在维持有效性的前提下平衡系统成本</w:t>
      </w:r>
      <w:r>
        <w:rPr>
          <w:sz w:val="15"/>
          <w:vertAlign w:val="superscript"/>
        </w:rPr>
        <w:t>P383</w:t>
      </w:r>
      <w:r>
        <w:t>，但成本被放在“为合规支出带来最优价值”的语境下讨论，并非选择工具时的首要独立考量。题干问的是“最重要”因素，教材框架中“集成”是四大关键考量之一，而成本只是配套考虑。如果题干问的是“实施预算约束下的取舍”，预算才可能成为优先项。</w:t>
      </w:r>
    </w:p>
    <w:p>
      <w:pPr>
        <w:spacing w:before="120" w:after="40"/>
      </w:pPr>
      <w:r>
        <w:rPr>
          <w:b/>
          <w:sz w:val="21"/>
          <w:shd w:fill="D6E4F0" w:val="clear"/>
        </w:rPr>
        <w:t>C项错误</w:t>
      </w:r>
    </w:p>
    <w:p>
      <w:pPr>
        <w:spacing w:line="360" w:lineRule="auto" w:after="40"/>
        <w:ind w:firstLine="420"/>
      </w:pPr>
      <w:r>
        <w:t>教材指出SAR的叙述部分是“最重要的组成部分”，需要人工回答案件的谁、什么、地点、时间、原因和方式</w:t>
      </w:r>
      <w:r>
        <w:rPr>
          <w:sz w:val="15"/>
          <w:vertAlign w:val="superscript"/>
        </w:rPr>
        <w:t>P354</w:t>
      </w:r>
      <w:r>
        <w:t>，这表明监管报告的决策和实质内容仍依赖人工判断。工具可以帮助生成SAR、提升自动化水平，但“自动化所有监管报告要求”超出了教材描述的技术能力范围，与教材对人工叙述的强调不吻合。</w:t>
      </w:r>
    </w:p>
    <w:p>
      <w:pPr>
        <w:spacing w:before="120" w:after="40"/>
      </w:pPr>
      <w:r>
        <w:rPr>
          <w:b/>
          <w:sz w:val="21"/>
          <w:shd w:fill="D6E4F0" w:val="clear"/>
        </w:rPr>
        <w:t>D项错误</w:t>
      </w:r>
    </w:p>
    <w:p>
      <w:pPr>
        <w:spacing w:line="360" w:lineRule="auto" w:after="40"/>
        <w:ind w:firstLine="420"/>
      </w:pPr>
      <w:r>
        <w:t>教材将定期、持续的AML培训列为反洗钱合规计划的第三大支柱</w:t>
      </w:r>
      <w:r>
        <w:rPr>
          <w:sz w:val="15"/>
          <w:vertAlign w:val="superscript"/>
        </w:rPr>
        <w:t>P245</w:t>
      </w:r>
      <w:r>
        <w:t>，培训由HR等部门制定实施。教材在讨论eKYC时提到技术“取代传统纸质方法”</w:t>
      </w:r>
      <w:r>
        <w:rPr>
          <w:sz w:val="15"/>
          <w:vertAlign w:val="superscript"/>
        </w:rPr>
        <w:t>P405</w:t>
      </w:r>
      <w:r>
        <w:t>，但从未提及AFC工具可取代员工培训。工具能辅助、优化流程，但培训是独立的合规义务，工具并不替代其人工方式。</w:t>
      </w:r>
    </w:p>
    <w:p>
      <w:pPr>
        <w:spacing w:before="120" w:after="40"/>
      </w:pPr>
      <w:r>
        <w:rPr>
          <w:b/>
          <w:sz w:val="21"/>
          <w:shd w:fill="D6E4F0" w:val="clear"/>
        </w:rPr>
        <w:t>易错提醒</w:t>
      </w:r>
    </w:p>
    <w:p>
      <w:pPr>
        <w:spacing w:line="360" w:lineRule="auto" w:after="40"/>
        <w:ind w:firstLine="420"/>
      </w:pPr>
      <w:r>
        <w:t>集成（integration）与灵活架构（flexible architecture）易混淆。集成关注的是工具与现有系统、数据集的互操作性和工作流简化</w:t>
      </w:r>
      <w:r>
        <w:rPr>
          <w:sz w:val="15"/>
          <w:vertAlign w:val="superscript"/>
        </w:rPr>
        <w:t>P390</w:t>
      </w:r>
      <w:r>
        <w:t>，侧重“两个东西能不能协同工作”；灵活架构则关注跨数据平台和应用层的无缝连接能力，侧重技术本身的架构设计</w:t>
      </w:r>
      <w:r>
        <w:rPr>
          <w:sz w:val="15"/>
          <w:vertAlign w:val="superscript"/>
        </w:rPr>
        <w:t>P389</w:t>
      </w:r>
      <w:r>
        <w:t>。前者是结果，后者是达成结果的基础条件。</w:t>
      </w:r>
    </w:p>
    <w:p>
      <w:pPr>
        <w:spacing w:line="360" w:lineRule="auto" w:after="120"/>
      </w:pPr>
      <w:r/>
    </w:p>
    <w:p>
      <w:pPr>
        <w:spacing w:line="360" w:lineRule="auto" w:after="40"/>
      </w:pPr>
      <w:r>
        <w:t>4. Which benefits are most commonly associated with transitioning from a rules-based approach to artificial intelligence (AI) and machine learning-based tools in transaction monitoring? (Choose Three.) ( )</w:t>
      </w:r>
    </w:p>
    <w:p>
      <w:pPr>
        <w:spacing w:line="360" w:lineRule="auto" w:after="20"/>
        <w:ind w:firstLine="283"/>
      </w:pPr>
      <w:r>
        <w:t>A. Reduction in the number of false positives in the long term.</w:t>
      </w:r>
    </w:p>
    <w:p>
      <w:pPr>
        <w:spacing w:line="360" w:lineRule="auto" w:after="20"/>
        <w:ind w:firstLine="283"/>
      </w:pPr>
      <w:r>
        <w:t>B. Complete automation of compliance processes.</w:t>
      </w:r>
    </w:p>
    <w:p>
      <w:pPr>
        <w:spacing w:line="360" w:lineRule="auto" w:after="20"/>
        <w:ind w:firstLine="283"/>
      </w:pPr>
      <w:r>
        <w:t>C. Elimination of the need for human oversight.</w:t>
      </w:r>
    </w:p>
    <w:p>
      <w:pPr>
        <w:spacing w:line="360" w:lineRule="auto" w:after="20"/>
        <w:ind w:firstLine="283"/>
      </w:pPr>
      <w:r>
        <w:t>D. Increased flexibility in adapting to changing financial crime risks.</w:t>
      </w:r>
    </w:p>
    <w:p>
      <w:pPr>
        <w:spacing w:line="360" w:lineRule="auto" w:after="20"/>
        <w:ind w:firstLine="283"/>
      </w:pPr>
      <w:r>
        <w:t>E. Enhanced ability to detect emerging patterns and anomalies.</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AI/机器学习相比规则系统的交易监控优势</w:t>
      </w:r>
    </w:p>
    <w:p>
      <w:pPr>
        <w:spacing w:before="120" w:after="40"/>
      </w:pPr>
      <w:r>
        <w:rPr>
          <w:b/>
          <w:sz w:val="21"/>
          <w:shd w:fill="D6E4F0" w:val="clear"/>
        </w:rPr>
        <w:t>核心解析</w:t>
      </w:r>
    </w:p>
    <w:p>
      <w:pPr>
        <w:spacing w:line="360" w:lineRule="auto" w:after="40"/>
        <w:ind w:firstLine="420"/>
      </w:pPr>
      <w:r>
        <w:t>传统规则系统依赖预设阈值触发警报，会产生大量误报，需要人工审核</w:t>
      </w:r>
      <w:r>
        <w:rPr>
          <w:sz w:val="15"/>
          <w:vertAlign w:val="superscript"/>
        </w:rPr>
        <w:t>P385</w:t>
      </w:r>
      <w:r>
        <w:t>。机器学习算法能分析海量数据、动态调整警报阈值，从而在长期内显著减少误报数量</w:t>
      </w:r>
      <w:r>
        <w:rPr>
          <w:sz w:val="15"/>
          <w:vertAlign w:val="superscript"/>
        </w:rPr>
        <w:t>P385</w:t>
      </w:r>
      <w:r>
        <w:t>，因此A正确。金融犯罪风险动态演变</w:t>
      </w:r>
      <w:r>
        <w:rPr>
          <w:sz w:val="15"/>
          <w:vertAlign w:val="superscript"/>
        </w:rPr>
        <w:t>P283</w:t>
      </w:r>
      <w:r>
        <w:t>，AI和机器学习支持持续自动调优，使系统能够灵活适应不断变化的洗钱手法和威胁</w:t>
      </w:r>
      <w:r>
        <w:rPr>
          <w:sz w:val="15"/>
          <w:vertAlign w:val="superscript"/>
        </w:rPr>
        <w:t>P438</w:t>
      </w:r>
      <w:r>
        <w:t>，因此D正确。同时，AI驱动的交易监控能够识别可疑模式和异常行为，检测传统规则可能遗漏的细微、非明显模式以及新兴洗钱类型</w:t>
      </w:r>
      <w:r>
        <w:rPr>
          <w:sz w:val="15"/>
          <w:vertAlign w:val="superscript"/>
        </w:rPr>
        <w:t>P330、P398</w:t>
      </w:r>
      <w:r>
        <w:t>，因此E正确。这三个好处共同体现了AI/机器学习在交易监控中作为增强性工具的定位——提升检测能力、降低误报并保持对变化的适应力，但不承诺全面自动化或取消人工监督。</w:t>
      </w:r>
    </w:p>
    <w:p>
      <w:pPr>
        <w:spacing w:before="120" w:after="40"/>
      </w:pPr>
      <w:r>
        <w:rPr>
          <w:b/>
          <w:sz w:val="21"/>
          <w:shd w:fill="D6E4F0" w:val="clear"/>
        </w:rPr>
        <w:t>B项错误</w:t>
      </w:r>
    </w:p>
    <w:p>
      <w:pPr>
        <w:spacing w:line="360" w:lineRule="auto" w:after="40"/>
        <w:ind w:firstLine="420"/>
      </w:pPr>
      <w:r>
        <w:t>教材中AI/ML能自动化部分重复性任务</w:t>
      </w:r>
      <w:r>
        <w:rPr>
          <w:sz w:val="15"/>
          <w:vertAlign w:val="superscript"/>
        </w:rPr>
        <w:t>P385</w:t>
      </w:r>
      <w:r>
        <w:t>，但“全面自动化”的绝对表述超出了教材支持的范畴。教材强调AI系统通常起补充和支持作用，而非完全取代现有流程</w:t>
      </w:r>
      <w:r>
        <w:rPr>
          <w:sz w:val="15"/>
          <w:vertAlign w:val="superscript"/>
        </w:rPr>
        <w:t>P387</w:t>
      </w:r>
      <w:r>
        <w:t>，并且调查中仍需平衡机器效率与人工监督</w:t>
      </w:r>
      <w:r>
        <w:rPr>
          <w:sz w:val="15"/>
          <w:vertAlign w:val="superscript"/>
        </w:rPr>
        <w:t>P452</w:t>
      </w:r>
      <w:r>
        <w:t>。在转向AI后，合规流程仍须保留人工参与，因此“全面自动化”不如A、D、E指向的渐进改善更吻合教材观点。</w:t>
      </w:r>
    </w:p>
    <w:p>
      <w:pPr>
        <w:spacing w:before="120" w:after="40"/>
      </w:pPr>
      <w:r>
        <w:rPr>
          <w:b/>
          <w:sz w:val="21"/>
          <w:shd w:fill="D6E4F0" w:val="clear"/>
        </w:rPr>
        <w:t>C项错误</w:t>
      </w:r>
    </w:p>
    <w:p>
      <w:pPr>
        <w:spacing w:line="360" w:lineRule="auto" w:after="40"/>
        <w:ind w:firstLine="420"/>
      </w:pPr>
      <w:r>
        <w:t>教材明确说明AI仍处早期阶段，目前不太可能完全消除人工监督，AI系统是补充而非替代人工</w:t>
      </w:r>
      <w:r>
        <w:rPr>
          <w:sz w:val="15"/>
          <w:vertAlign w:val="superscript"/>
        </w:rPr>
        <w:t>P387</w:t>
      </w:r>
      <w:r>
        <w:t>。在交易监控中，自动化工具标记异常活动后，仍须由分析师审核验证以过滤误报</w:t>
      </w:r>
      <w:r>
        <w:rPr>
          <w:sz w:val="15"/>
          <w:vertAlign w:val="superscript"/>
        </w:rPr>
        <w:t>P452</w:t>
      </w:r>
      <w:r>
        <w:t>。因此“消除对人工监督的需求”与教材立场直接冲突，同A、D、E所示的增强性好处相比，该项属于过度承诺。</w:t>
      </w:r>
    </w:p>
    <w:p>
      <w:pPr>
        <w:spacing w:before="120" w:after="40"/>
      </w:pPr>
      <w:r>
        <w:rPr>
          <w:b/>
          <w:sz w:val="21"/>
          <w:shd w:fill="D6E4F0" w:val="clear"/>
        </w:rPr>
        <w:t>易错提醒</w:t>
      </w:r>
    </w:p>
    <w:p>
      <w:pPr>
        <w:spacing w:line="360" w:lineRule="auto" w:after="40"/>
        <w:ind w:firstLine="420"/>
      </w:pPr>
      <w:r>
        <w:t>在涉及AI/ML好处的题目中，出现“全面自动化”、“消除人工需求”等绝对化表述时，通常与教材“辅助而非替代”的立场不符。教材始终强调AI在当前阶段是对人工的补充，带来误报减少、灵活适应和模式检测等品质改善，而不会导致整个流程无人化。遇到此类绝对词选项可直接怀疑其夸大性。</w:t>
      </w:r>
    </w:p>
    <w:p>
      <w:pPr>
        <w:spacing w:line="360" w:lineRule="auto" w:after="120"/>
      </w:pPr>
      <w:r/>
    </w:p>
    <w:p>
      <w:pPr>
        <w:spacing w:line="360" w:lineRule="auto" w:after="40"/>
      </w:pPr>
      <w:r>
        <w:t>5. Which strategies are most effective for prioritizing resources within an anti-financial crime (AFC) program using a risk-based approach (RBA)? (Choose two.) ( )</w:t>
      </w:r>
    </w:p>
    <w:p>
      <w:pPr>
        <w:spacing w:line="360" w:lineRule="auto" w:after="20"/>
        <w:ind w:firstLine="283"/>
      </w:pPr>
      <w:r>
        <w:t>A. Prioritizing resources toward lower-risk areas to reduce workload</w:t>
      </w:r>
    </w:p>
    <w:p>
      <w:pPr>
        <w:spacing w:line="360" w:lineRule="auto" w:after="20"/>
        <w:ind w:firstLine="283"/>
      </w:pPr>
      <w:r>
        <w:t>B. Regularly reassessing risks to adjust resource allocation</w:t>
      </w:r>
    </w:p>
    <w:p>
      <w:pPr>
        <w:spacing w:line="360" w:lineRule="auto" w:after="20"/>
        <w:ind w:firstLine="283"/>
      </w:pPr>
      <w:r>
        <w:t>C. Allocating more resources to areas with higher financial crime risk</w:t>
      </w:r>
    </w:p>
    <w:p>
      <w:pPr>
        <w:spacing w:line="360" w:lineRule="auto" w:after="20"/>
        <w:ind w:firstLine="283"/>
      </w:pPr>
      <w:r>
        <w:t>D. Providing equal resources to all departments to maintain consistency</w:t>
      </w:r>
    </w:p>
    <w:p>
      <w:pPr>
        <w:spacing w:line="360" w:lineRule="auto" w:after="20"/>
        <w:ind w:firstLine="283"/>
      </w:pPr>
      <w:r>
        <w:t>E. Using a fixed resource allocation plan without adjustments</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风险为本方法下资源优先级排序的核心原则</w:t>
      </w:r>
    </w:p>
    <w:p>
      <w:pPr>
        <w:spacing w:before="120" w:after="40"/>
      </w:pPr>
      <w:r>
        <w:rPr>
          <w:b/>
          <w:sz w:val="21"/>
          <w:shd w:fill="D6E4F0" w:val="clear"/>
        </w:rPr>
        <w:t>核心解析</w:t>
      </w:r>
    </w:p>
    <w:p>
      <w:pPr>
        <w:spacing w:line="360" w:lineRule="auto" w:after="40"/>
        <w:ind w:firstLine="420"/>
      </w:pPr>
      <w:r>
        <w:t>风险为本方法（RBA）是指识别最高风险并优先将资源分配给这些风险领域的过程</w:t>
      </w:r>
      <w:r>
        <w:rPr>
          <w:sz w:val="15"/>
          <w:vertAlign w:val="superscript"/>
        </w:rPr>
        <w:t>P381</w:t>
      </w:r>
      <w:r>
        <w:t>。同时，RBA要求组织优先对高风险客户、司法管辖区和服务投入资源</w:t>
      </w:r>
      <w:r>
        <w:rPr>
          <w:sz w:val="15"/>
          <w:vertAlign w:val="superscript"/>
        </w:rPr>
        <w:t>P218</w:t>
      </w:r>
      <w:r>
        <w:t>，并将精力集中于最需要和影响最大的领域</w:t>
      </w:r>
      <w:r>
        <w:rPr>
          <w:sz w:val="15"/>
          <w:vertAlign w:val="superscript"/>
        </w:rPr>
        <w:t>P271</w:t>
      </w:r>
      <w:r>
        <w:t>。因此，向金融犯罪风险较高的领域分配更多资源（C）直接体现了RBA最根本的优先级原则。另一方面，金融犯罪风险是动态且不断演变的，组织必须在业务发生重大变化时重新评估风险</w:t>
      </w:r>
      <w:r>
        <w:rPr>
          <w:sz w:val="15"/>
          <w:vertAlign w:val="superscript"/>
        </w:rPr>
        <w:t>P283</w:t>
      </w:r>
      <w:r>
        <w:t>，也可能定期重新评估风险敞口并调整风险偏好声明</w:t>
      </w:r>
      <w:r>
        <w:rPr>
          <w:sz w:val="15"/>
          <w:vertAlign w:val="superscript"/>
        </w:rPr>
        <w:t>P272</w:t>
      </w:r>
      <w:r>
        <w:t>。这意味着，定期重新评估风险以调整资源配置（B）是保证资源优先级排序始终与当前风险状况匹配的关键机制。两项策略均直接出自RBA的定义与实施要求，因而最有效。</w:t>
      </w:r>
    </w:p>
    <w:p>
      <w:pPr>
        <w:spacing w:before="120" w:after="40"/>
      </w:pPr>
      <w:r>
        <w:rPr>
          <w:b/>
          <w:sz w:val="21"/>
          <w:shd w:fill="D6E4F0" w:val="clear"/>
        </w:rPr>
        <w:t>教材原句</w:t>
      </w:r>
    </w:p>
    <w:p>
      <w:pPr>
        <w:spacing w:line="360" w:lineRule="auto" w:after="40"/>
        <w:ind w:firstLine="420"/>
      </w:pPr>
      <w:r>
        <w:t>"A risk-based approach refers to the process of identifying the highest risks and prioritizing resources to address them."</w:t>
      </w:r>
    </w:p>
    <w:p>
      <w:pPr>
        <w:spacing w:before="120" w:after="40"/>
      </w:pPr>
      <w:r>
        <w:rPr>
          <w:b/>
          <w:sz w:val="21"/>
          <w:shd w:fill="D6E4F0" w:val="clear"/>
        </w:rPr>
        <w:t>A项错误</w:t>
      </w:r>
    </w:p>
    <w:p>
      <w:pPr>
        <w:spacing w:line="360" w:lineRule="auto" w:after="40"/>
        <w:ind w:firstLine="420"/>
      </w:pPr>
      <w:r>
        <w:t>将资源优先分配给风险较低的领域，与RBA优先最高风险的原则方向相反。在教材框架下，题干更直接支持将资源集中于高风险领域（C），低风险区域的减轻负担并非RBA资源排序的首要目标。</w:t>
      </w:r>
    </w:p>
    <w:p>
      <w:pPr>
        <w:spacing w:before="120" w:after="40"/>
      </w:pPr>
      <w:r>
        <w:rPr>
          <w:b/>
          <w:sz w:val="21"/>
          <w:shd w:fill="D6E4F0" w:val="clear"/>
        </w:rPr>
        <w:t>D项错误</w:t>
      </w:r>
    </w:p>
    <w:p>
      <w:pPr>
        <w:spacing w:line="360" w:lineRule="auto" w:after="40"/>
        <w:ind w:firstLine="420"/>
      </w:pPr>
      <w:r>
        <w:t>向所有部门提供同等资源属于“一刀切”做法，而教材指出一刀切在风险监控中不适用</w:t>
      </w:r>
      <w:r>
        <w:rPr>
          <w:sz w:val="15"/>
          <w:vertAlign w:val="superscript"/>
        </w:rPr>
        <w:t>P442</w:t>
      </w:r>
      <w:r>
        <w:t>。RBA要求资源分配与风险水平成正比，正确项（B、C）更贴合按风险差异化配置的原则。</w:t>
      </w:r>
    </w:p>
    <w:p>
      <w:pPr>
        <w:spacing w:before="120" w:after="40"/>
      </w:pPr>
      <w:r>
        <w:rPr>
          <w:b/>
          <w:sz w:val="21"/>
          <w:shd w:fill="D6E4F0" w:val="clear"/>
        </w:rPr>
        <w:t>E项错误</w:t>
      </w:r>
    </w:p>
    <w:p>
      <w:pPr>
        <w:spacing w:line="360" w:lineRule="auto" w:after="40"/>
        <w:ind w:firstLine="420"/>
      </w:pPr>
      <w:r>
        <w:t>固定不作调整的分配计划忽略了风险的动态性。教材强调必须定期重新评估风险</w:t>
      </w:r>
      <w:r>
        <w:rPr>
          <w:sz w:val="15"/>
          <w:vertAlign w:val="superscript"/>
        </w:rPr>
        <w:t>P283</w:t>
      </w:r>
      <w:r>
        <w:t>并调整资源，正确项（B）所提供的定期调整更吻合RBA持续应对风险变化的要求。</w:t>
      </w:r>
    </w:p>
    <w:p>
      <w:pPr>
        <w:spacing w:line="360" w:lineRule="auto" w:after="120"/>
      </w:pPr>
      <w:r/>
    </w:p>
    <w:p>
      <w:pPr>
        <w:spacing w:line="360" w:lineRule="auto" w:after="40"/>
      </w:pPr>
      <w:r>
        <w:t>6. Which of the following are efficient approaches for performing horizon scanning? (Select Two.) ( )</w:t>
      </w:r>
    </w:p>
    <w:p>
      <w:pPr>
        <w:spacing w:line="360" w:lineRule="auto" w:after="20"/>
        <w:ind w:firstLine="283"/>
      </w:pPr>
      <w:r>
        <w:t>A. Subscribing to a regulator's newsletter</w:t>
      </w:r>
    </w:p>
    <w:p>
      <w:pPr>
        <w:spacing w:line="360" w:lineRule="auto" w:after="20"/>
        <w:ind w:firstLine="283"/>
      </w:pPr>
      <w:r>
        <w:t>B. Using a specific provider for regulatory horizon scanning</w:t>
      </w:r>
    </w:p>
    <w:p>
      <w:pPr>
        <w:spacing w:line="360" w:lineRule="auto" w:after="20"/>
        <w:ind w:firstLine="283"/>
      </w:pPr>
      <w:r>
        <w:t>C. Regularly contacting the regulator to inquire about updates and future developments</w:t>
      </w:r>
    </w:p>
    <w:p>
      <w:pPr>
        <w:spacing w:line="360" w:lineRule="auto" w:after="20"/>
        <w:ind w:firstLine="283"/>
      </w:pPr>
      <w:r>
        <w:t>D. Relying on information and insights from peers and working groups</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区分地平线扫描中持续监测、同业协作与日常监管询问</w:t>
      </w:r>
    </w:p>
    <w:p>
      <w:pPr>
        <w:spacing w:before="120" w:after="40"/>
      </w:pPr>
      <w:r>
        <w:rPr>
          <w:b/>
          <w:sz w:val="21"/>
          <w:shd w:fill="D6E4F0" w:val="clear"/>
        </w:rPr>
        <w:t>核心解析</w:t>
      </w:r>
    </w:p>
    <w:p>
      <w:pPr>
        <w:spacing w:line="360" w:lineRule="auto" w:after="40"/>
        <w:ind w:firstLine="420"/>
      </w:pPr>
      <w:r>
        <w:t>确保持续合规的结构化方法包括持续监管监测、主动与监管机构及其他利益相关方互动，以及战略性技术运用</w:t>
      </w:r>
      <w:r>
        <w:rPr>
          <w:sz w:val="15"/>
          <w:vertAlign w:val="superscript"/>
        </w:rPr>
        <w:t>P388</w:t>
      </w:r>
      <w:r>
        <w:t>。通过行业协会、金融犯罪防控论坛和监管工作组协作，有助于了解新兴趋势和最佳实践</w:t>
      </w:r>
      <w:r>
        <w:rPr>
          <w:sz w:val="15"/>
          <w:vertAlign w:val="superscript"/>
        </w:rPr>
        <w:t>P389</w:t>
      </w:r>
      <w:r>
        <w:t>。订阅监管机构通讯简报属于持续监管监测，依靠同行和工作小组信息属于行业协作，两者直接对应教材描述的地平线扫描高效方法。相比之下，定期联系监管机构询问最新情况虽看似主动互动，但教材中该做法主要用于针对AI等技术设定期望和展示可解释性</w:t>
      </w:r>
      <w:r>
        <w:rPr>
          <w:sz w:val="15"/>
          <w:vertAlign w:val="superscript"/>
        </w:rPr>
        <w:t>P387</w:t>
      </w:r>
      <w:r>
        <w:t>，并非地平线扫描中获取广泛监管动态的推荐手段，其效率和系统性不如前两项。</w:t>
      </w:r>
    </w:p>
    <w:p>
      <w:pPr>
        <w:spacing w:before="120" w:after="40"/>
      </w:pPr>
      <w:r>
        <w:rPr>
          <w:b/>
          <w:sz w:val="21"/>
          <w:shd w:fill="D6E4F0" w:val="clear"/>
        </w:rPr>
        <w:t>教材原句</w:t>
      </w:r>
    </w:p>
    <w:p>
      <w:pPr>
        <w:spacing w:line="360" w:lineRule="auto" w:after="40"/>
        <w:ind w:firstLine="420"/>
      </w:pPr>
      <w:r>
        <w:t>"A structured approach to ensuring ongoing compliance includes continuous regulatory monitoring, proactive engagement with regulators and other stakeholders, and the strategic use of technology."</w:t>
      </w:r>
    </w:p>
    <w:p>
      <w:pPr>
        <w:spacing w:before="120" w:after="40"/>
      </w:pPr>
      <w:r>
        <w:rPr>
          <w:b/>
          <w:sz w:val="21"/>
          <w:shd w:fill="D6E4F0" w:val="clear"/>
        </w:rPr>
        <w:t>B项错误</w:t>
      </w:r>
    </w:p>
    <w:p>
      <w:pPr>
        <w:spacing w:line="360" w:lineRule="auto" w:after="40"/>
        <w:ind w:firstLine="420"/>
      </w:pPr>
      <w:r>
        <w:t>教材未出现专门监管地平线扫描服务提供商的描述，缺乏将其列为有效方法的依据。若题干提及外包或第三方技术供应商，或许可关联，但此处无从支撑。</w:t>
      </w:r>
    </w:p>
    <w:p>
      <w:pPr>
        <w:spacing w:before="120" w:after="40"/>
      </w:pPr>
      <w:r>
        <w:rPr>
          <w:b/>
          <w:sz w:val="21"/>
          <w:shd w:fill="D6E4F0" w:val="clear"/>
        </w:rPr>
        <w:t>C项错误</w:t>
      </w:r>
    </w:p>
    <w:p>
      <w:pPr>
        <w:spacing w:line="360" w:lineRule="auto" w:after="40"/>
        <w:ind w:firstLine="420"/>
      </w:pPr>
      <w:r>
        <w:t>教材确有与监管机构尽早经常沟通的建议，但该情境聚焦于AI等新技术的期望设定和可解释性要求</w:t>
      </w:r>
      <w:r>
        <w:rPr>
          <w:sz w:val="15"/>
          <w:vertAlign w:val="superscript"/>
        </w:rPr>
        <w:t>P387</w:t>
      </w:r>
      <w:r>
        <w:t>，并非持续监测监管动态的地平线扫描手段。相比选项A的订阅简报和选项D的同行协作，它更偏向点对点技术咨询，信息获取的广度和常态化程度不如前两者。</w:t>
      </w:r>
    </w:p>
    <w:p>
      <w:pPr>
        <w:spacing w:before="120" w:after="40"/>
      </w:pPr>
      <w:r>
        <w:rPr>
          <w:b/>
          <w:sz w:val="21"/>
          <w:shd w:fill="D6E4F0" w:val="clear"/>
        </w:rPr>
        <w:t>易错提醒</w:t>
      </w:r>
    </w:p>
    <w:p>
      <w:pPr>
        <w:spacing w:line="360" w:lineRule="auto" w:after="40"/>
        <w:ind w:firstLine="420"/>
      </w:pPr>
      <w:r>
        <w:t>教材P388的“主动与监管机构互动”通常针对具体合规技术（如AI）的期望对齐，而非地平线扫描的日常信息收集。地平线扫描最有效的方法侧重于持续监测公开的监管信息（如简报）和同业网络分享，而非依赖直接向监管机构频繁询问。</w:t>
      </w:r>
    </w:p>
    <w:p>
      <w:pPr>
        <w:spacing w:line="360" w:lineRule="auto" w:after="120"/>
      </w:pPr>
      <w:r/>
    </w:p>
    <w:p>
      <w:pPr>
        <w:spacing w:line="360" w:lineRule="auto" w:after="40"/>
      </w:pPr>
      <w:r>
        <w:t>7. Which factors should be prioritized when choosing an anti-financial crime (AFC) tool for an organization? (Select Two.) ( )</w:t>
      </w:r>
    </w:p>
    <w:p>
      <w:pPr>
        <w:spacing w:line="360" w:lineRule="auto" w:after="20"/>
        <w:ind w:firstLine="283"/>
      </w:pPr>
      <w:r>
        <w:t>A. Real-time data analysis capabilities as part of a broader strategy</w:t>
      </w:r>
    </w:p>
    <w:p>
      <w:pPr>
        <w:spacing w:line="360" w:lineRule="auto" w:after="20"/>
        <w:ind w:firstLine="283"/>
      </w:pPr>
      <w:r>
        <w:t>B. Preference for the lowest-cost solution</w:t>
      </w:r>
    </w:p>
    <w:p>
      <w:pPr>
        <w:spacing w:line="360" w:lineRule="auto" w:after="20"/>
        <w:ind w:firstLine="283"/>
      </w:pPr>
      <w:r>
        <w:t>C. Complete elimination of manual processes</w:t>
      </w:r>
    </w:p>
    <w:p>
      <w:pPr>
        <w:spacing w:line="360" w:lineRule="auto" w:after="20"/>
        <w:ind w:firstLine="283"/>
      </w:pPr>
      <w:r>
        <w:t>D. Compatibility with existing IT infrastructure</w:t>
      </w:r>
    </w:p>
    <w:p>
      <w:pPr>
        <w:spacing w:line="360" w:lineRule="auto" w:after="20"/>
        <w:ind w:firstLine="283"/>
      </w:pPr>
      <w:r>
        <w:t>E. Scalability to handle increasing transaction volumes</w:t>
      </w:r>
    </w:p>
    <w:p>
      <w:pPr>
        <w:spacing w:line="360" w:lineRule="auto" w:after="40"/>
      </w:pPr>
      <w:r>
        <w:t>答案：D、E</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区分AFC技术评估中的四项核心考量：可扩展性、集成、灵活架构与协作</w:t>
      </w:r>
    </w:p>
    <w:p>
      <w:pPr>
        <w:spacing w:before="120" w:after="40"/>
      </w:pPr>
      <w:r>
        <w:rPr>
          <w:b/>
          <w:sz w:val="21"/>
          <w:shd w:fill="D6E4F0" w:val="clear"/>
        </w:rPr>
        <w:t>核心解析</w:t>
      </w:r>
    </w:p>
    <w:p>
      <w:pPr>
        <w:spacing w:line="360" w:lineRule="auto" w:after="40"/>
        <w:ind w:firstLine="420"/>
      </w:pPr>
      <w:r>
        <w:t>教材在P389明确指出评估新金融犯罪防控技术时有四项关键考量：可扩展性（scalability）、灵活架构（flexible architecture）、集成（integration）与协作（collaboration）。其中，可扩展性要求方案能适应有机增长、并购及新产品服务</w:t>
      </w:r>
      <w:r>
        <w:rPr>
          <w:sz w:val="15"/>
          <w:vertAlign w:val="superscript"/>
        </w:rPr>
        <w:t>P389</w:t>
      </w:r>
      <w:r>
        <w:t>；集成方面，P378进一步强调需确保与现有系统兼容（Integration with existing systems: Ensure compatibility with legacy technology and core banking systems）。选项D“与现有IT基础设施的兼容性”直接对应集成这一优先考量，选项E“处理不断增长的交易量的可扩展性”直接对应可扩展性这一优先考量，两者均属于教材界定的核心优先因素。</w:t>
      </w:r>
    </w:p>
    <w:p>
      <w:pPr>
        <w:spacing w:before="120" w:after="40"/>
      </w:pPr>
      <w:r>
        <w:rPr>
          <w:b/>
          <w:sz w:val="21"/>
          <w:shd w:fill="D6E4F0" w:val="clear"/>
        </w:rPr>
        <w:t>教材原句</w:t>
      </w:r>
    </w:p>
    <w:p>
      <w:pPr>
        <w:spacing w:line="360" w:lineRule="auto" w:after="40"/>
        <w:ind w:firstLine="420"/>
      </w:pPr>
      <w:r>
        <w:t>"There are four key considerations for evaluating new AFC technology: scalability, flexible architecture, integration, and collaboration."</w:t>
      </w:r>
    </w:p>
    <w:p>
      <w:pPr>
        <w:spacing w:before="120" w:after="40"/>
      </w:pPr>
      <w:r>
        <w:rPr>
          <w:b/>
          <w:sz w:val="21"/>
          <w:shd w:fill="D6E4F0" w:val="clear"/>
        </w:rPr>
        <w:t>A项错误</w:t>
      </w:r>
    </w:p>
    <w:p>
      <w:pPr>
        <w:spacing w:line="360" w:lineRule="auto" w:after="40"/>
        <w:ind w:firstLine="420"/>
      </w:pPr>
      <w:r>
        <w:t>实时数据分析能力是AFC工具的有用功能，但教材在界定评估新技术的最优先因素时，并未将其单独列出</w:t>
      </w:r>
      <w:r>
        <w:rPr>
          <w:sz w:val="15"/>
          <w:vertAlign w:val="superscript"/>
        </w:rPr>
        <w:t>P389</w:t>
      </w:r>
      <w:r>
        <w:t>。相比之下，题干更直接匹配教材强调的系统级基础特性——可扩展性与集成，而非某一具体分析功能。</w:t>
      </w:r>
    </w:p>
    <w:p>
      <w:pPr>
        <w:spacing w:before="120" w:after="40"/>
      </w:pPr>
      <w:r>
        <w:rPr>
          <w:b/>
          <w:sz w:val="21"/>
          <w:shd w:fill="D6E4F0" w:val="clear"/>
        </w:rPr>
        <w:t>B项错误</w:t>
      </w:r>
    </w:p>
    <w:p>
      <w:pPr>
        <w:spacing w:line="360" w:lineRule="auto" w:after="40"/>
        <w:ind w:firstLine="420"/>
      </w:pPr>
      <w:r>
        <w:t>教材强调在花费与有效性之间取得平衡</w:t>
      </w:r>
      <w:r>
        <w:rPr>
          <w:sz w:val="15"/>
          <w:vertAlign w:val="superscript"/>
        </w:rPr>
        <w:t>P383</w:t>
      </w:r>
      <w:r>
        <w:t>，而非单纯追求最低成本。成本考量属于总拥有成本评估的一部分</w:t>
      </w:r>
      <w:r>
        <w:rPr>
          <w:sz w:val="15"/>
          <w:vertAlign w:val="superscript"/>
        </w:rPr>
        <w:t>P378</w:t>
      </w:r>
      <w:r>
        <w:t>，但并非最优先的筛选维度，可扩展性和集成在教材的优先清单中位置更靠前。</w:t>
      </w:r>
    </w:p>
    <w:p>
      <w:pPr>
        <w:spacing w:before="120" w:after="40"/>
      </w:pPr>
      <w:r>
        <w:rPr>
          <w:b/>
          <w:sz w:val="21"/>
          <w:shd w:fill="D6E4F0" w:val="clear"/>
        </w:rPr>
        <w:t>C项错误</w:t>
      </w:r>
    </w:p>
    <w:p>
      <w:pPr>
        <w:spacing w:line="360" w:lineRule="auto" w:after="40"/>
        <w:ind w:firstLine="420"/>
      </w:pPr>
      <w:r>
        <w:t>教材指出当前AI技术不太可能完全消除人工监督</w:t>
      </w:r>
      <w:r>
        <w:rPr>
          <w:sz w:val="15"/>
          <w:vertAlign w:val="superscript"/>
        </w:rPr>
        <w:t>P387</w:t>
      </w:r>
      <w:r>
        <w:t>。题干要求的“优先考虑”因素应落在可扩展性、集成等已被教材明确列为关键考量的领域，完全消除人工流程不如这些基础架构特性更具优先级。</w:t>
      </w:r>
    </w:p>
    <w:p>
      <w:pPr>
        <w:spacing w:before="120" w:after="40"/>
      </w:pPr>
      <w:r>
        <w:rPr>
          <w:b/>
          <w:sz w:val="21"/>
          <w:shd w:fill="D6E4F0" w:val="clear"/>
        </w:rPr>
        <w:t>易错提醒</w:t>
      </w:r>
    </w:p>
    <w:p>
      <w:pPr>
        <w:spacing w:line="360" w:lineRule="auto" w:after="40"/>
        <w:ind w:firstLine="420"/>
      </w:pPr>
      <w:r>
        <w:t>容易将“实时数据分析”误判为优先因素。教材的四项关键考量聚焦于系统级特性（可扩展、集成、灵活架构、协作），而非特定的分析功能。选择AFC工具时，兼容性与可扩展性比单一功能更基础、更优先。</w:t>
      </w:r>
    </w:p>
    <w:p>
      <w:pPr>
        <w:spacing w:line="360" w:lineRule="auto" w:after="120"/>
      </w:pPr>
      <w:r/>
    </w:p>
    <w:p>
      <w:pPr>
        <w:spacing w:line="360" w:lineRule="auto" w:after="40"/>
      </w:pPr>
      <w:r>
        <w:t>8. Which key performance indicators (KPIs) should be considered in the context of ML/TF transaction monitoring? (Select Three.) ( )</w:t>
      </w:r>
    </w:p>
    <w:p>
      <w:pPr>
        <w:spacing w:line="360" w:lineRule="auto" w:after="20"/>
        <w:ind w:firstLine="283"/>
      </w:pPr>
      <w:r>
        <w:t>A. Number of days required to hire new staff</w:t>
      </w:r>
    </w:p>
    <w:p>
      <w:pPr>
        <w:spacing w:line="360" w:lineRule="auto" w:after="20"/>
        <w:ind w:firstLine="283"/>
      </w:pPr>
      <w:r>
        <w:t>B. Number of alerts raised for review or reporting</w:t>
      </w:r>
    </w:p>
    <w:p>
      <w:pPr>
        <w:spacing w:line="360" w:lineRule="auto" w:after="20"/>
        <w:ind w:firstLine="283"/>
      </w:pPr>
      <w:r>
        <w:t>C. Number of alerts by region</w:t>
      </w:r>
    </w:p>
    <w:p>
      <w:pPr>
        <w:spacing w:line="360" w:lineRule="auto" w:after="20"/>
        <w:ind w:firstLine="283"/>
      </w:pPr>
      <w:r>
        <w:t>D. Number of transactions by top customers</w:t>
      </w:r>
    </w:p>
    <w:p>
      <w:pPr>
        <w:spacing w:line="360" w:lineRule="auto" w:after="20"/>
        <w:ind w:firstLine="283"/>
      </w:pPr>
      <w:r>
        <w:t>E. Average time to review an alert</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区分金融犯罪防控KPI与一般业务或人力资源指标</w:t>
      </w:r>
    </w:p>
    <w:p>
      <w:pPr>
        <w:spacing w:before="120" w:after="40"/>
      </w:pPr>
      <w:r>
        <w:rPr>
          <w:b/>
          <w:sz w:val="21"/>
          <w:shd w:fill="D6E4F0" w:val="clear"/>
        </w:rPr>
        <w:t>核心解析</w:t>
      </w:r>
    </w:p>
    <w:p>
      <w:pPr>
        <w:spacing w:line="360" w:lineRule="auto" w:after="40"/>
        <w:ind w:firstLine="420"/>
      </w:pPr>
      <w:r>
        <w:t>关键绩效指标（KPI）用于衡量金融犯罪防控（AFC）控制的效率与效果</w:t>
      </w:r>
      <w:r>
        <w:rPr>
          <w:sz w:val="15"/>
          <w:vertAlign w:val="superscript"/>
        </w:rPr>
        <w:t>P387</w:t>
      </w:r>
      <w:r>
        <w:t>，典型的KPI包括警报审查时效、误报率以及可疑活动报告提交时限等</w:t>
      </w:r>
      <w:r>
        <w:rPr>
          <w:sz w:val="15"/>
          <w:vertAlign w:val="superscript"/>
        </w:rPr>
        <w:t>P296</w:t>
      </w:r>
      <w:r>
        <w:t>。在机器学习／深度学习交易监控场景下，评估这类系统不仅要看其发现可疑行为的能力，还必须衡量其产生的运营负荷与处理效率。提出审查或报告的警报数量（对应选项B）是交易监控校准的核心指标</w:t>
      </w:r>
      <w:r>
        <w:rPr>
          <w:sz w:val="15"/>
          <w:vertAlign w:val="superscript"/>
        </w:rPr>
        <w:t>P446</w:t>
      </w:r>
      <w:r>
        <w:t>，直接反映系统对可疑活动的捕获能力；各地区警报数量（对应选项C）通过地理维度揭示风险分布与监控覆盖，可评估系统在不同区域的执行一致性；平均警报审查时间（对应选项E）本身就是P296明确列举的KPI量度，直接体现合规团队的调查效率。三者共同构成对监控系统有效性和运行效率的整体评估，因此是应选取的KPI。</w:t>
      </w:r>
    </w:p>
    <w:p>
      <w:pPr>
        <w:spacing w:before="120" w:after="40"/>
      </w:pPr>
      <w:r>
        <w:rPr>
          <w:b/>
          <w:sz w:val="21"/>
          <w:shd w:fill="D6E4F0" w:val="clear"/>
        </w:rPr>
        <w:t>教材原句</w:t>
      </w:r>
    </w:p>
    <w:p>
      <w:pPr>
        <w:spacing w:line="360" w:lineRule="auto" w:after="40"/>
        <w:ind w:firstLine="420"/>
      </w:pPr>
      <w:r>
        <w:t>"Ongoing reporting includes key risk indicators to identify potential vulnerabilities and key performance indicators to measure efficiency and effectiveness in detecting and preventing financial crime."</w:t>
      </w:r>
    </w:p>
    <w:p>
      <w:pPr>
        <w:spacing w:before="120" w:after="40"/>
      </w:pPr>
      <w:r>
        <w:rPr>
          <w:b/>
          <w:sz w:val="21"/>
          <w:shd w:fill="D6E4F0" w:val="clear"/>
        </w:rPr>
        <w:t>A项错误</w:t>
      </w:r>
    </w:p>
    <w:p>
      <w:pPr>
        <w:spacing w:line="360" w:lineRule="auto" w:after="40"/>
        <w:ind w:firstLine="420"/>
      </w:pPr>
      <w:r>
        <w:t>招聘新员工所需天数属于人力资源流程效率指标，教材在讨论AFC内部报告或KPI时均未将其纳入金融犯罪防控有效性的量度</w:t>
      </w:r>
      <w:r>
        <w:rPr>
          <w:sz w:val="15"/>
          <w:vertAlign w:val="superscript"/>
        </w:rPr>
        <w:t>P296、P387</w:t>
      </w:r>
      <w:r>
        <w:t>，与题干要求的监控系统KPI属性不匹配。</w:t>
      </w:r>
    </w:p>
    <w:p>
      <w:pPr>
        <w:spacing w:before="120" w:after="40"/>
      </w:pPr>
      <w:r>
        <w:rPr>
          <w:b/>
          <w:sz w:val="21"/>
          <w:shd w:fill="D6E4F0" w:val="clear"/>
        </w:rPr>
        <w:t>D项错误</w:t>
      </w:r>
    </w:p>
    <w:p>
      <w:pPr>
        <w:spacing w:line="360" w:lineRule="auto" w:after="40"/>
        <w:ind w:firstLine="420"/>
      </w:pPr>
      <w:r>
        <w:t>顶级客户的交易数量可反映特定客群的业务规模和风险敞口，但教材将KPI界定为对AFC控制本身的效率与效果的衡量</w:t>
      </w:r>
      <w:r>
        <w:rPr>
          <w:sz w:val="15"/>
          <w:vertAlign w:val="superscript"/>
        </w:rPr>
        <w:t>P387</w:t>
      </w:r>
      <w:r>
        <w:t>，而非对客户交易行为的统计描述，因此它不如B、C、E那样直接吻合教材对AFC的KPI的定义。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