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A key advantage of privacy-enhancing technologies (PETs) in anti-money laundering is that they offer: ( )</w:t>
      </w:r>
    </w:p>
    <w:p>
      <w:pPr>
        <w:spacing w:line="360" w:lineRule="auto" w:after="20"/>
        <w:ind w:firstLine="283"/>
      </w:pPr>
      <w:r>
        <w:t>A. Simultaneous encryption and decryption of underlying data</w:t>
      </w:r>
    </w:p>
    <w:p>
      <w:pPr>
        <w:spacing w:line="360" w:lineRule="auto" w:after="20"/>
        <w:ind w:firstLine="283"/>
      </w:pPr>
      <w:r>
        <w:t>B. Full access to underlying data, with full and uninterrupted calculations made on the data</w:t>
      </w:r>
    </w:p>
    <w:p>
      <w:pPr>
        <w:spacing w:line="360" w:lineRule="auto" w:after="20"/>
        <w:ind w:firstLine="283"/>
      </w:pPr>
      <w:r>
        <w:t>C. Secure processing of data while it remains encrypted</w:t>
      </w:r>
    </w:p>
    <w:p>
      <w:pPr>
        <w:spacing w:line="360" w:lineRule="auto" w:after="20"/>
        <w:ind w:firstLine="283"/>
      </w:pPr>
      <w:r>
        <w:t>D. Transfer, decryption, and storage of data by the data processor</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PET核心优势：无需解密即可对加密数据执行计算</w:t>
      </w:r>
    </w:p>
    <w:p>
      <w:pPr>
        <w:spacing w:before="120" w:after="40"/>
      </w:pPr>
      <w:r>
        <w:rPr>
          <w:b/>
          <w:sz w:val="21"/>
          <w:shd w:fill="D6E4F0" w:val="clear"/>
        </w:rPr>
        <w:t>核心解析</w:t>
      </w:r>
    </w:p>
    <w:p>
      <w:pPr>
        <w:spacing w:line="360" w:lineRule="auto" w:after="40"/>
        <w:ind w:firstLine="420"/>
      </w:pPr>
      <w:r>
        <w:t>隐私增强技术（PET）是能在保护个人隐私的同时实现数据共享与分析的创新工具</w:t>
      </w:r>
      <w:r>
        <w:rPr>
          <w:sz w:val="15"/>
          <w:vertAlign w:val="superscript"/>
        </w:rPr>
        <w:t>P393</w:t>
      </w:r>
      <w:r>
        <w:t>。其中同态加密允许对加密数据直接执行计算而无需先解密，从而实现“在数据保持加密状态下对其进行安全处理”</w:t>
      </w:r>
      <w:r>
        <w:rPr>
          <w:sz w:val="15"/>
          <w:vertAlign w:val="superscript"/>
        </w:rPr>
        <w:t>P393</w:t>
      </w:r>
      <w:r>
        <w:t>。题干问PET在反洗钱方面的关键优势，选项C正对应同态加密这一核心能力：数据在加密状态下仍可被安全地分析处理，既满足反洗钱分析需求，又不暴露原始数据，符合PET的隐私保护与合规双重目的。</w:t>
      </w:r>
    </w:p>
    <w:p>
      <w:pPr>
        <w:spacing w:before="120" w:after="40"/>
      </w:pPr>
      <w:r>
        <w:rPr>
          <w:b/>
          <w:sz w:val="21"/>
          <w:shd w:fill="D6E4F0" w:val="clear"/>
        </w:rPr>
        <w:t>教材原句</w:t>
      </w:r>
    </w:p>
    <w:p>
      <w:pPr>
        <w:spacing w:line="360" w:lineRule="auto" w:after="40"/>
        <w:ind w:firstLine="420"/>
      </w:pPr>
      <w:r>
        <w:t>"Using this technique, computations can be performed on encrypted data without needing to decrypt it first."</w:t>
      </w:r>
    </w:p>
    <w:p>
      <w:pPr>
        <w:spacing w:before="120" w:after="40"/>
      </w:pPr>
      <w:r>
        <w:rPr>
          <w:b/>
          <w:sz w:val="21"/>
          <w:shd w:fill="D6E4F0" w:val="clear"/>
        </w:rPr>
        <w:t>A项错误</w:t>
      </w:r>
    </w:p>
    <w:p>
      <w:pPr>
        <w:spacing w:line="360" w:lineRule="auto" w:after="40"/>
        <w:ind w:firstLine="420"/>
      </w:pPr>
      <w:r>
        <w:t>选项A描述的是对数据同时进行加密和解密，但PET的关键优势在于计算过程中保持数据加密状态，而非在加密与解密之间同步切换。教材中联邦学习、同态加密等均强调无需解密即可操作，A与这一核心特征匹配度较低。</w:t>
      </w:r>
    </w:p>
    <w:p>
      <w:pPr>
        <w:spacing w:before="120" w:after="40"/>
      </w:pPr>
      <w:r>
        <w:rPr>
          <w:b/>
          <w:sz w:val="21"/>
          <w:shd w:fill="D6E4F0" w:val="clear"/>
        </w:rPr>
        <w:t>B项错误</w:t>
      </w:r>
    </w:p>
    <w:p>
      <w:pPr>
        <w:spacing w:line="360" w:lineRule="auto" w:after="40"/>
        <w:ind w:firstLine="420"/>
      </w:pPr>
      <w:r>
        <w:t>PET的设计目标恰恰是在不暴露原始数据的前提下进行分析。联邦学习仅共享模型更新而非原始数据</w:t>
      </w:r>
      <w:r>
        <w:rPr>
          <w:sz w:val="15"/>
          <w:vertAlign w:val="superscript"/>
        </w:rPr>
        <w:t>P393</w:t>
      </w:r>
      <w:r>
        <w:t>，安全多方计算也不泄露各方输入</w:t>
      </w:r>
      <w:r>
        <w:rPr>
          <w:sz w:val="15"/>
          <w:vertAlign w:val="superscript"/>
        </w:rPr>
        <w:t>P393</w:t>
      </w:r>
      <w:r>
        <w:t>，因此“完全访问权限”与PET的隐私保护逻辑不符，而选项C在加密状态下安全处理更直接吻合PET的定义。</w:t>
      </w:r>
    </w:p>
    <w:p>
      <w:pPr>
        <w:spacing w:before="120" w:after="40"/>
      </w:pPr>
      <w:r>
        <w:rPr>
          <w:b/>
          <w:sz w:val="21"/>
          <w:shd w:fill="D6E4F0" w:val="clear"/>
        </w:rPr>
        <w:t>D项错误</w:t>
      </w:r>
    </w:p>
    <w:p>
      <w:pPr>
        <w:spacing w:line="360" w:lineRule="auto" w:after="40"/>
        <w:ind w:firstLine="420"/>
      </w:pPr>
      <w:r>
        <w:t>选项D描述的是数据处理者对数据的传输、解密和存储，属于一般数据管理操作，而非PET的优势。教材中PET的优势在于无需解密即可安全分析共享数据，D所述常规处理与题干要求的“关键优势”匹配度远不如C。</w:t>
      </w:r>
    </w:p>
    <w:p>
      <w:pPr>
        <w:spacing w:before="120" w:after="40"/>
      </w:pPr>
      <w:r>
        <w:rPr>
          <w:b/>
          <w:sz w:val="21"/>
          <w:shd w:fill="D6E4F0" w:val="clear"/>
        </w:rPr>
        <w:t>易错提醒</w:t>
      </w:r>
    </w:p>
    <w:p>
      <w:pPr>
        <w:spacing w:line="360" w:lineRule="auto" w:after="40"/>
        <w:ind w:firstLine="420"/>
      </w:pPr>
      <w:r>
        <w:t>容易混淆“加密”与“同步加密和解密”。PET的核心是在加密状态下进行计算，而非在加密和解密之间快速切换。选项A暗示解密操作仍然发生，这与同态加密“无需解密即可计算”的区分标准不一致。</w:t>
      </w:r>
    </w:p>
    <w:p>
      <w:pPr>
        <w:spacing w:line="360" w:lineRule="auto" w:after="120"/>
      </w:pPr>
      <w:r/>
    </w:p>
    <w:p>
      <w:pPr>
        <w:spacing w:line="360" w:lineRule="auto" w:after="40"/>
      </w:pPr>
      <w:r>
        <w:t>2. A bank in the Netherlands has been requested to share information about a series of transactions and related customers with a bank in Italy. Both banks are subject to European Union jurisdiction. Which factor is the most important to consider before the Dutch bank shares the requested information with the Italian bank? ( )</w:t>
      </w:r>
    </w:p>
    <w:p>
      <w:pPr>
        <w:spacing w:line="360" w:lineRule="auto" w:after="20"/>
        <w:ind w:firstLine="283"/>
      </w:pPr>
      <w:r>
        <w:t>A. The Dutch bank should limit any information sharing to what is necessary, reasonable, and proportionate, in line with applicable laws and regulations</w:t>
      </w:r>
    </w:p>
    <w:p>
      <w:pPr>
        <w:spacing w:line="360" w:lineRule="auto" w:after="20"/>
        <w:ind w:firstLine="283"/>
      </w:pPr>
      <w:r>
        <w:t>B. The Dutch bank's legal obligations to protect customer privacy and bank secrecy prohibit it from sharing any such information</w:t>
      </w:r>
    </w:p>
    <w:p>
      <w:pPr>
        <w:spacing w:line="360" w:lineRule="auto" w:after="20"/>
        <w:ind w:firstLine="283"/>
      </w:pPr>
      <w:r>
        <w:t>C. The Dutch bank should require a production order from the Italian bank and receive approval from its legal department before sharing the requested information</w:t>
      </w:r>
    </w:p>
    <w:p>
      <w:pPr>
        <w:spacing w:line="360" w:lineRule="auto" w:after="20"/>
        <w:ind w:firstLine="283"/>
      </w:pPr>
      <w:r>
        <w:t>D. The need to combat financial crime overrides the requirements of EU data protection and privacy regulations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跨境信息共享须在金融犯罪检测与数据隐私法律义务之间取得平衡，遵循数据最小化原则</w:t>
      </w:r>
    </w:p>
    <w:p>
      <w:pPr>
        <w:spacing w:before="120" w:after="40"/>
      </w:pPr>
      <w:r>
        <w:rPr>
          <w:b/>
          <w:sz w:val="21"/>
          <w:shd w:fill="D6E4F0" w:val="clear"/>
        </w:rPr>
        <w:t>核心解析</w:t>
      </w:r>
    </w:p>
    <w:p>
      <w:pPr>
        <w:spacing w:line="360" w:lineRule="auto" w:after="40"/>
        <w:ind w:firstLine="420"/>
      </w:pPr>
      <w:r>
        <w:t>AFC专业人员需在有效金融犯罪检测与数据隐私法律义务之间取得平衡</w:t>
      </w:r>
      <w:r>
        <w:rPr>
          <w:sz w:val="15"/>
          <w:vertAlign w:val="superscript"/>
        </w:rPr>
        <w:t>P392</w:t>
      </w:r>
      <w:r>
        <w:t>。欧盟GDPR等隐私法规强调数据最小化、目的限制等原则</w:t>
      </w:r>
      <w:r>
        <w:rPr>
          <w:sz w:val="15"/>
          <w:vertAlign w:val="superscript"/>
        </w:rPr>
        <w:t>P392</w:t>
      </w:r>
      <w:r>
        <w:t>，而跨境传输个人数据可能受限制，除非满足同等保护条件</w:t>
      </w:r>
      <w:r>
        <w:rPr>
          <w:sz w:val="15"/>
          <w:vertAlign w:val="superscript"/>
        </w:rPr>
        <w:t>P209</w:t>
      </w:r>
      <w:r>
        <w:t>。题干中，荷兰银行向意大利银行共享客户及交易信息属于欧盟管辖下的跨境数据共享，需遵守这些法律。因此，限制信息共享在必要、合理且适度的范围内并确保符合适用法律法规，直接体现了合规要求，是最重要的考虑因素。</w:t>
      </w:r>
    </w:p>
    <w:p>
      <w:pPr>
        <w:spacing w:before="120" w:after="40"/>
      </w:pPr>
      <w:r>
        <w:rPr>
          <w:b/>
          <w:sz w:val="21"/>
          <w:shd w:fill="D6E4F0" w:val="clear"/>
        </w:rPr>
        <w:t>教材原句</w:t>
      </w:r>
    </w:p>
    <w:p>
      <w:pPr>
        <w:spacing w:line="360" w:lineRule="auto" w:after="40"/>
        <w:ind w:firstLine="420"/>
      </w:pPr>
      <w:r>
        <w:t>"For AFC professionals, these regulations involve balancing effective financial crime detection with legal obligations for data privacy."</w:t>
      </w:r>
    </w:p>
    <w:p>
      <w:pPr>
        <w:spacing w:before="120" w:after="40"/>
      </w:pPr>
      <w:r>
        <w:rPr>
          <w:b/>
          <w:sz w:val="21"/>
          <w:shd w:fill="D6E4F0" w:val="clear"/>
        </w:rPr>
        <w:t>B项错误</w:t>
      </w:r>
    </w:p>
    <w:p>
      <w:pPr>
        <w:spacing w:line="360" w:lineRule="auto" w:after="40"/>
        <w:ind w:firstLine="420"/>
      </w:pPr>
      <w:r>
        <w:t>客户隐私和银行保密义务固然存在，但并非绝对禁止共享。欧盟法规允许经国家监管机构批准的跨境信息共享伙伴关系</w:t>
      </w:r>
      <w:r>
        <w:rPr>
          <w:sz w:val="15"/>
          <w:vertAlign w:val="superscript"/>
        </w:rPr>
        <w:t>P239</w:t>
      </w:r>
      <w:r>
        <w:t>，更支持在合规前提下进行必要的共享，而非一概禁止。</w:t>
      </w:r>
    </w:p>
    <w:p>
      <w:pPr>
        <w:spacing w:before="120" w:after="40"/>
      </w:pPr>
      <w:r>
        <w:rPr>
          <w:b/>
          <w:sz w:val="21"/>
          <w:shd w:fill="D6E4F0" w:val="clear"/>
        </w:rPr>
        <w:t>C项错误</w:t>
      </w:r>
    </w:p>
    <w:p>
      <w:pPr>
        <w:spacing w:line="360" w:lineRule="auto" w:after="40"/>
        <w:ind w:firstLine="420"/>
      </w:pPr>
      <w:r>
        <w:t>生产指令通常是法院或执法机构要求金融机构提供信息的法律工具</w:t>
      </w:r>
      <w:r>
        <w:rPr>
          <w:sz w:val="15"/>
          <w:vertAlign w:val="superscript"/>
        </w:rPr>
        <w:t>P336</w:t>
      </w:r>
      <w:r>
        <w:t>，并非银行间信息共享的前置程序。题干未提及执法机构介入，该选项与银行间共享的场景匹配度不如A项。</w:t>
      </w:r>
    </w:p>
    <w:p>
      <w:pPr>
        <w:spacing w:before="120" w:after="40"/>
      </w:pPr>
      <w:r>
        <w:rPr>
          <w:b/>
          <w:sz w:val="21"/>
          <w:shd w:fill="D6E4F0" w:val="clear"/>
        </w:rPr>
        <w:t>D项错误</w:t>
      </w:r>
    </w:p>
    <w:p>
      <w:pPr>
        <w:spacing w:line="360" w:lineRule="auto" w:after="40"/>
        <w:ind w:firstLine="420"/>
      </w:pPr>
      <w:r>
        <w:t>教材明确要求组织在处理客户数据以符合AML/CFT要求的同时遵守GDPR，必须平衡两者</w:t>
      </w:r>
      <w:r>
        <w:rPr>
          <w:sz w:val="15"/>
          <w:vertAlign w:val="superscript"/>
        </w:rPr>
        <w:t>P263</w:t>
      </w:r>
      <w:r>
        <w:t>，而非让打击金融犯罪需求凌驾于数据保护法规之上。该选项与平衡原则冲突，不如A项贴合教材立场。</w:t>
      </w:r>
    </w:p>
    <w:p>
      <w:pPr>
        <w:spacing w:before="120" w:after="40"/>
      </w:pPr>
      <w:r>
        <w:rPr>
          <w:b/>
          <w:sz w:val="21"/>
          <w:shd w:fill="D6E4F0" w:val="clear"/>
        </w:rPr>
        <w:t>易错提醒</w:t>
      </w:r>
    </w:p>
    <w:p>
      <w:pPr>
        <w:spacing w:line="360" w:lineRule="auto" w:after="40"/>
        <w:ind w:firstLine="420"/>
      </w:pPr>
      <w:r>
        <w:t>数据保护义务并非绝对禁止共享，而是要求在满足数据最小化、目的限制等合规条件的前提下，进行必要的信息共享。混淆“禁止共享”与“合规共享”会误选B。</w:t>
      </w:r>
    </w:p>
    <w:p>
      <w:pPr>
        <w:spacing w:line="360" w:lineRule="auto" w:after="120"/>
      </w:pPr>
      <w:r/>
    </w:p>
    <w:p>
      <w:pPr>
        <w:spacing w:line="360" w:lineRule="auto" w:after="40"/>
      </w:pPr>
      <w:r>
        <w:t>3. Which technologies are commonly used to help financial institutions (FIs) navigate privacy and data protection regulations while securely sharing client information with private third-party entities? (Choose Two.) ( )</w:t>
      </w:r>
    </w:p>
    <w:p>
      <w:pPr>
        <w:spacing w:line="360" w:lineRule="auto" w:after="20"/>
        <w:ind w:firstLine="283"/>
      </w:pPr>
      <w:r>
        <w:t>A. Blockchain to ensure traceability and security in shared data transactions</w:t>
      </w:r>
    </w:p>
    <w:p>
      <w:pPr>
        <w:spacing w:line="360" w:lineRule="auto" w:after="20"/>
        <w:ind w:firstLine="283"/>
      </w:pPr>
      <w:r>
        <w:t>B. Data encryption to protect sensitive information from unauthorized access</w:t>
      </w:r>
    </w:p>
    <w:p>
      <w:pPr>
        <w:spacing w:line="360" w:lineRule="auto" w:after="20"/>
        <w:ind w:firstLine="283"/>
      </w:pPr>
      <w:r>
        <w:t>C. Privacy-enhancing technologies (PETs) to enable secure and privacy-compliant data sharing</w:t>
      </w:r>
    </w:p>
    <w:p>
      <w:pPr>
        <w:spacing w:line="360" w:lineRule="auto" w:after="20"/>
        <w:ind w:firstLine="283"/>
      </w:pPr>
      <w:r>
        <w:t>D. Artificial intelligence (AI) to automate compliance processes such as data anonymization and secure sharing</w:t>
      </w:r>
    </w:p>
    <w:p>
      <w:pPr>
        <w:spacing w:line="360" w:lineRule="auto" w:after="20"/>
        <w:ind w:firstLine="283"/>
      </w:pPr>
      <w:r>
        <w:t>E. Cloud storage solutions for efficient data processing and management</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在安全数据共享语境下区分 PET 定义与其他技术角色</w:t>
      </w:r>
    </w:p>
    <w:p>
      <w:pPr>
        <w:spacing w:before="120" w:after="40"/>
      </w:pPr>
      <w:r>
        <w:rPr>
          <w:b/>
          <w:sz w:val="21"/>
          <w:shd w:fill="D6E4F0" w:val="clear"/>
        </w:rPr>
        <w:t>核心解析</w:t>
      </w:r>
    </w:p>
    <w:p>
      <w:pPr>
        <w:spacing w:line="360" w:lineRule="auto" w:after="40"/>
        <w:ind w:firstLine="420"/>
      </w:pPr>
      <w:r>
        <w:t>隐私增强技术（PET）是能够在保护个人隐私的同时实现数据共享与分析的创新工具</w:t>
      </w:r>
      <w:r>
        <w:rPr>
          <w:sz w:val="15"/>
          <w:vertAlign w:val="superscript"/>
        </w:rPr>
        <w:t>P393</w:t>
      </w:r>
      <w:r>
        <w:t>，它们确保安全且符合隐私保护要求的数据共享</w:t>
      </w:r>
      <w:r>
        <w:rPr>
          <w:sz w:val="15"/>
          <w:vertAlign w:val="superscript"/>
        </w:rPr>
        <w:t>P392</w:t>
      </w:r>
      <w:r>
        <w:t>。题干问的是“安全地与私营第三方实体共享客户信息同时遵守隐私和数据保护法规”的技术，这与 PET 的定义直接吻合。同时，教材在讨论数据安全和隐私合规时明确要求实施强加密方法以保护敏感数据</w:t>
      </w:r>
      <w:r>
        <w:rPr>
          <w:sz w:val="15"/>
          <w:vertAlign w:val="superscript"/>
        </w:rPr>
        <w:t>P426</w:t>
      </w:r>
      <w:r>
        <w:t>，数据加密正是实现这一目标的基础技术手段。两者分别从“合规共享”和“传输保护”两个维度回应了题干的核心要求。</w:t>
      </w:r>
    </w:p>
    <w:p>
      <w:pPr>
        <w:spacing w:before="120" w:after="40"/>
      </w:pPr>
      <w:r>
        <w:rPr>
          <w:b/>
          <w:sz w:val="21"/>
          <w:shd w:fill="D6E4F0" w:val="clear"/>
        </w:rPr>
        <w:t>教材原句</w:t>
      </w:r>
    </w:p>
    <w:p>
      <w:pPr>
        <w:spacing w:line="360" w:lineRule="auto" w:after="40"/>
        <w:ind w:firstLine="420"/>
      </w:pPr>
      <w:r>
        <w:t>"Privacy-enhancing technologies (PETs) are innovative tools that enable data sharing and analysis while preserving individual privacy."</w:t>
      </w:r>
    </w:p>
    <w:p>
      <w:pPr>
        <w:spacing w:before="120" w:after="40"/>
      </w:pPr>
      <w:r>
        <w:rPr>
          <w:b/>
          <w:sz w:val="21"/>
          <w:shd w:fill="D6E4F0" w:val="clear"/>
        </w:rPr>
        <w:t>A项错误</w:t>
      </w:r>
    </w:p>
    <w:p>
      <w:pPr>
        <w:spacing w:line="360" w:lineRule="auto" w:after="40"/>
        <w:ind w:firstLine="420"/>
      </w:pPr>
      <w:r>
        <w:t>教材将区块链定位为一种分布式账本技术，强调其不可篡改、透明和去中心化特性</w:t>
      </w:r>
      <w:r>
        <w:rPr>
          <w:sz w:val="15"/>
          <w:vertAlign w:val="superscript"/>
        </w:rPr>
        <w:t>P110</w:t>
      </w:r>
      <w:r>
        <w:t>，但并未将其定义为一类专门用于保障隐私合规和数据共享的技术。在教材框架下，题干更直接匹配 PET 和加密这两类被明确定义为服务于隐私保护目的的技术，而区块链的教材描述侧重于交易记录的可追溯性和安全性，与其说是一种隐私合规解决方案，不如说是一种底层基础设施。</w:t>
      </w:r>
    </w:p>
    <w:p>
      <w:pPr>
        <w:spacing w:before="120" w:after="40"/>
      </w:pPr>
      <w:r>
        <w:rPr>
          <w:b/>
          <w:sz w:val="21"/>
          <w:shd w:fill="D6E4F0" w:val="clear"/>
        </w:rPr>
        <w:t>D项错误</w:t>
      </w:r>
    </w:p>
    <w:p>
      <w:pPr>
        <w:spacing w:line="360" w:lineRule="auto" w:after="40"/>
        <w:ind w:firstLine="420"/>
      </w:pPr>
      <w:r>
        <w:t>教材列举的 PET 示例中包括数据匿名化</w:t>
      </w:r>
      <w:r>
        <w:rPr>
          <w:sz w:val="15"/>
          <w:vertAlign w:val="superscript"/>
        </w:rPr>
        <w:t>P392</w:t>
      </w:r>
      <w:r>
        <w:t>，而题干将 AI 描述为“用于自动化合规流程，例如数据匿名化和安全共享”。在此语境下，数据匿名化本身属于 PET 范畴，AI 是实施自动化的使能技术，教材未将 AI 本身定义为像 PET 那样直接针对隐私保护和合规共享的技术类别。与 PET 和加密相比，AI 与题干“安全共享客户信息并遵守隐私法规”这一核心目标的匹配度更间接。</w:t>
      </w:r>
    </w:p>
    <w:p>
      <w:pPr>
        <w:spacing w:before="120" w:after="40"/>
      </w:pPr>
      <w:r>
        <w:rPr>
          <w:b/>
          <w:sz w:val="21"/>
          <w:shd w:fill="D6E4F0" w:val="clear"/>
        </w:rPr>
        <w:t>E项错误</w:t>
      </w:r>
    </w:p>
    <w:p>
      <w:pPr>
        <w:spacing w:line="360" w:lineRule="auto" w:after="40"/>
        <w:ind w:firstLine="420"/>
      </w:pPr>
      <w:r>
        <w:t>云存储解决方案在教材中被描述为数据处理和管理的基础设施</w:t>
      </w:r>
      <w:r>
        <w:rPr>
          <w:sz w:val="15"/>
          <w:vertAlign w:val="superscript"/>
        </w:rPr>
        <w:t>P480</w:t>
      </w:r>
      <w:r>
        <w:t>，题干未提及存储或数据管理层面的需求。相比之下，题干明确指向“共享过程中”的安全和隐私合规，B 项和 C 项直接对应这一过程中的保护机制，云存储的教材定位与题干条件的匹配度较弱。</w:t>
      </w:r>
    </w:p>
    <w:p>
      <w:pPr>
        <w:spacing w:before="120" w:after="40"/>
      </w:pPr>
      <w:r>
        <w:rPr>
          <w:b/>
          <w:sz w:val="21"/>
          <w:shd w:fill="D6E4F0" w:val="clear"/>
        </w:rPr>
        <w:t>易错提醒</w:t>
      </w:r>
    </w:p>
    <w:p>
      <w:pPr>
        <w:spacing w:line="360" w:lineRule="auto" w:after="40"/>
        <w:ind w:firstLine="420"/>
      </w:pPr>
      <w:r>
        <w:t>数据匿名化在教材中被明确列为隐私增强技术（PET）的子类</w:t>
      </w:r>
      <w:r>
        <w:rPr>
          <w:sz w:val="15"/>
          <w:vertAlign w:val="superscript"/>
        </w:rPr>
        <w:t>P392</w:t>
      </w:r>
      <w:r>
        <w:t>，而非 AI 的专属范畴。题干将 AI 与数据匿名化并列时，容易让人误以为匿名化是 AI 的功能，实际上它属于 PET 的技术手段，AI 只是实现自动化的工具。</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