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CH14 (EN)</w:t>
      </w:r>
    </w:p>
    <w:p>
      <w:pPr>
        <w:spacing w:line="360" w:lineRule="auto" w:after="160"/>
      </w:pPr>
      <w:r>
        <w:t>一、单项选择题</w:t>
      </w:r>
    </w:p>
    <w:p>
      <w:pPr>
        <w:spacing w:line="360" w:lineRule="auto" w:after="40"/>
      </w:pPr>
      <w:r>
        <w:t>1. There are three types of factors that can be used to authenticate someone: ownership, knowledge, and inherent factors. Which of the following factors falls under inherent factors? ( )</w:t>
      </w:r>
    </w:p>
    <w:p>
      <w:pPr>
        <w:spacing w:line="360" w:lineRule="auto" w:after="20"/>
        <w:ind w:firstLine="283"/>
      </w:pPr>
      <w:r>
        <w:t>A. Challenge-response</w:t>
      </w:r>
    </w:p>
    <w:p>
      <w:pPr>
        <w:spacing w:line="360" w:lineRule="auto" w:after="20"/>
        <w:ind w:firstLine="283"/>
      </w:pPr>
      <w:r>
        <w:t>B. Fingerprint</w:t>
      </w:r>
    </w:p>
    <w:p>
      <w:pPr>
        <w:spacing w:line="360" w:lineRule="auto" w:after="20"/>
        <w:ind w:firstLine="283"/>
      </w:pPr>
      <w:r>
        <w:t>C. Security token</w:t>
      </w:r>
    </w:p>
    <w:p>
      <w:pPr>
        <w:spacing w:line="360" w:lineRule="auto" w:after="20"/>
        <w:ind w:firstLine="283"/>
      </w:pPr>
      <w:r>
        <w:t>D. Passphrase</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区分拥有、知识、固有因素三类认证方法</w:t>
      </w:r>
    </w:p>
    <w:p>
      <w:pPr>
        <w:spacing w:before="120" w:after="40"/>
      </w:pPr>
      <w:r>
        <w:rPr>
          <w:b/>
          <w:sz w:val="21"/>
          <w:shd w:fill="D6E4F0" w:val="clear"/>
        </w:rPr>
        <w:t>核心解析</w:t>
      </w:r>
    </w:p>
    <w:p>
      <w:pPr>
        <w:spacing w:line="360" w:lineRule="auto" w:after="40"/>
        <w:ind w:firstLine="420"/>
      </w:pPr>
      <w:r>
        <w:t>认证方法分为三类：拥有物（你持有的东西）、知识（你知道的信息）、固有特征（你身体的一部分或你的行为特征）</w:t>
      </w:r>
      <w:r>
        <w:rPr>
          <w:sz w:val="15"/>
          <w:vertAlign w:val="superscript"/>
        </w:rPr>
        <w:t>P410</w:t>
      </w:r>
      <w:r>
        <w:t>。题干问的是“inherent factors”（固有因素），即“something you are”。指纹是一种生理生物特征，属于你身体的一部分</w:t>
      </w:r>
      <w:r>
        <w:rPr>
          <w:sz w:val="15"/>
          <w:vertAlign w:val="superscript"/>
        </w:rPr>
        <w:t>P411</w:t>
      </w:r>
      <w:r>
        <w:t>，因此直接归入固有因素类别。</w:t>
      </w:r>
    </w:p>
    <w:p>
      <w:pPr>
        <w:spacing w:before="120" w:after="40"/>
      </w:pPr>
      <w:r>
        <w:rPr>
          <w:b/>
          <w:sz w:val="21"/>
          <w:shd w:fill="D6E4F0" w:val="clear"/>
        </w:rPr>
        <w:t>教材原句</w:t>
      </w:r>
    </w:p>
    <w:p>
      <w:pPr>
        <w:spacing w:line="360" w:lineRule="auto" w:after="40"/>
        <w:ind w:firstLine="420"/>
      </w:pPr>
      <w:r>
        <w:t>"Typically, authentication methods fall into three main categories: Ownership (something you have), knowledge (something you know), and inherence (something you are)."</w:t>
      </w:r>
    </w:p>
    <w:p>
      <w:pPr>
        <w:spacing w:before="120" w:after="40"/>
      </w:pPr>
      <w:r>
        <w:rPr>
          <w:b/>
          <w:sz w:val="21"/>
          <w:shd w:fill="D6E4F0" w:val="clear"/>
        </w:rPr>
        <w:t>A项错误</w:t>
      </w:r>
    </w:p>
    <w:p>
      <w:pPr>
        <w:spacing w:line="360" w:lineRule="auto" w:after="40"/>
        <w:ind w:firstLine="420"/>
      </w:pPr>
      <w:r>
        <w:t>挑战-响应（Challenge-response）是一种认证机制，用户需要提供对挑战的正确应答（如输入动态验证码），这属于“你知道什么”或“你持有什么”的验证过程，而非“你是什么”。教材在列举三类因素时，并未将挑战-响应归入固有因素。相比之下，指纹直接体现生物特征，与“inherence”的定义匹配度更高。</w:t>
      </w:r>
    </w:p>
    <w:p>
      <w:pPr>
        <w:spacing w:before="120" w:after="40"/>
      </w:pPr>
      <w:r>
        <w:rPr>
          <w:b/>
          <w:sz w:val="21"/>
          <w:shd w:fill="D6E4F0" w:val="clear"/>
        </w:rPr>
        <w:t>C项错误</w:t>
      </w:r>
    </w:p>
    <w:p>
      <w:pPr>
        <w:spacing w:line="360" w:lineRule="auto" w:after="40"/>
        <w:ind w:firstLine="420"/>
      </w:pPr>
      <w:r>
        <w:t>安全令牌（Security token）是用户持有的物理设备或接收一次性代码的载体，教材将其归为拥有因素（ownership / something you have）的典型案例</w:t>
      </w:r>
      <w:r>
        <w:rPr>
          <w:sz w:val="15"/>
          <w:vertAlign w:val="superscript"/>
        </w:rPr>
        <w:t>P410</w:t>
      </w:r>
      <w:r>
        <w:t>。虽然它常用于身份验证，但它不是人体自身的固有特征，因此在分类上更直接匹配拥有因素而非固有因素。</w:t>
      </w:r>
    </w:p>
    <w:p>
      <w:pPr>
        <w:spacing w:before="120" w:after="40"/>
      </w:pPr>
      <w:r>
        <w:rPr>
          <w:b/>
          <w:sz w:val="21"/>
          <w:shd w:fill="D6E4F0" w:val="clear"/>
        </w:rPr>
        <w:t>D项错误</w:t>
      </w:r>
    </w:p>
    <w:p>
      <w:pPr>
        <w:spacing w:line="360" w:lineRule="auto" w:after="40"/>
        <w:ind w:firstLine="420"/>
      </w:pPr>
      <w:r>
        <w:t>密码短语（Passphrase）是用户记住并输入的信息，属于知识因素（knowledge / something you know）。它依赖于人的记忆而非人体本身不可分离的生物特征。因此，与指纹相比，密码短语并不满足固有因素“something you are”的核心定义。</w:t>
      </w:r>
    </w:p>
    <w:p>
      <w:pPr>
        <w:spacing w:before="120" w:after="40"/>
      </w:pPr>
      <w:r>
        <w:rPr>
          <w:b/>
          <w:sz w:val="21"/>
          <w:shd w:fill="D6E4F0" w:val="clear"/>
        </w:rPr>
        <w:t>易错提醒</w:t>
      </w:r>
    </w:p>
    <w:p>
      <w:pPr>
        <w:spacing w:line="360" w:lineRule="auto" w:after="40"/>
        <w:ind w:firstLine="420"/>
      </w:pPr>
      <w:r>
        <w:t>固有因素（inherence）不限于生理特征（如指纹），还包括行为生物特征（如打字节奏、滑屏方式）。但教材明确将指纹列为生理生物特征</w:t>
      </w:r>
      <w:r>
        <w:rPr>
          <w:sz w:val="15"/>
          <w:vertAlign w:val="superscript"/>
        </w:rPr>
        <w:t>P411</w:t>
      </w:r>
      <w:r>
        <w:t>，而行为特征则是另一子类。考题若仅给出“指纹”，可直接按生理特征→固有因素的逻辑归类，不必纠结是否包含行为特征。</w:t>
      </w:r>
    </w:p>
    <w:p>
      <w:pPr>
        <w:spacing w:line="360" w:lineRule="auto" w:after="120"/>
      </w:pPr>
      <w:r/>
    </w:p>
    <w:p>
      <w:pPr>
        <w:spacing w:line="360" w:lineRule="auto" w:after="40"/>
      </w:pPr>
      <w:r>
        <w:t>2. Perpetual KYC includes: (Choose two.) ( )</w:t>
      </w:r>
    </w:p>
    <w:p>
      <w:pPr>
        <w:spacing w:line="360" w:lineRule="auto" w:after="20"/>
        <w:ind w:firstLine="283"/>
      </w:pPr>
      <w:r>
        <w:t>A. Triggers identifying static data changes and data based on client's behaviors in real time.</w:t>
      </w:r>
    </w:p>
    <w:p>
      <w:pPr>
        <w:spacing w:line="360" w:lineRule="auto" w:after="20"/>
        <w:ind w:firstLine="283"/>
      </w:pPr>
      <w:r>
        <w:t>B. Periodic refreshing at one-, three- and five-year cycles.</w:t>
      </w:r>
    </w:p>
    <w:p>
      <w:pPr>
        <w:spacing w:line="360" w:lineRule="auto" w:after="20"/>
        <w:ind w:firstLine="283"/>
      </w:pPr>
      <w:r>
        <w:t>C. Ability to prioritize better based on client data rather than driven by schedules alone.</w:t>
      </w:r>
    </w:p>
    <w:p>
      <w:pPr>
        <w:spacing w:line="360" w:lineRule="auto" w:after="20"/>
        <w:ind w:firstLine="283"/>
      </w:pPr>
      <w:r>
        <w:t>D. Classification of clients into categories of risk.</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 Perpetual KYC 与 Periodic KYC 的核心特征</w:t>
      </w:r>
    </w:p>
    <w:p>
      <w:pPr>
        <w:spacing w:before="120" w:after="40"/>
      </w:pPr>
      <w:r>
        <w:rPr>
          <w:b/>
          <w:sz w:val="21"/>
          <w:shd w:fill="D6E4F0" w:val="clear"/>
        </w:rPr>
        <w:t>核心解析</w:t>
      </w:r>
    </w:p>
    <w:p>
      <w:pPr>
        <w:spacing w:line="360" w:lineRule="auto" w:after="40"/>
        <w:ind w:firstLine="420"/>
      </w:pPr>
      <w:r>
        <w:t>Perpetual KYC（持续KYC）与传统KYC不同，是一个连续过程</w:t>
      </w:r>
      <w:r>
        <w:rPr>
          <w:sz w:val="15"/>
          <w:vertAlign w:val="superscript"/>
        </w:rPr>
        <w:t>P406</w:t>
      </w:r>
      <w:r>
        <w:t>。它并非按固定的时间表来更新客户信息，而是通过持续监控各种最新数据点，近实时地根据客户行为和环境变化来保持数据准确</w:t>
      </w:r>
      <w:r>
        <w:rPr>
          <w:sz w:val="15"/>
          <w:vertAlign w:val="superscript"/>
        </w:rPr>
        <w:t>P406</w:t>
      </w:r>
      <w:r>
        <w:t>。这包括识别触发器来启动KYC审查</w:t>
      </w:r>
      <w:r>
        <w:rPr>
          <w:sz w:val="15"/>
          <w:vertAlign w:val="superscript"/>
        </w:rPr>
        <w:t>P406</w:t>
      </w:r>
      <w:r>
        <w:t>，以及监控静态数据变化（如地址变更）和客户行为数据</w:t>
      </w:r>
      <w:r>
        <w:rPr>
          <w:sz w:val="15"/>
          <w:vertAlign w:val="superscript"/>
        </w:rPr>
        <w:t>P406</w:t>
      </w:r>
      <w:r>
        <w:t>。选项A描述的“触发器实时识别静态数据变化和行为数据”直接对应了教材对Perpetual KYC监控触发器和数据类型的定义。选项C描述的“根据客户数据而非仅凭时间表来更好地确定优先级”则吻合了Perpetual KYC作为数据驱动的、区别于定期审查的连续过程的本质</w:t>
      </w:r>
      <w:r>
        <w:rPr>
          <w:sz w:val="15"/>
          <w:vertAlign w:val="superscript"/>
        </w:rPr>
        <w:t>P406</w:t>
      </w:r>
      <w:r>
        <w:t>。两者都体现了Perpetual KYC“动态”、“数据驱动”、“非固定周期”的核心特征。</w:t>
      </w:r>
    </w:p>
    <w:p>
      <w:pPr>
        <w:spacing w:before="120" w:after="40"/>
      </w:pPr>
      <w:r>
        <w:rPr>
          <w:b/>
          <w:sz w:val="21"/>
          <w:shd w:fill="D6E4F0" w:val="clear"/>
        </w:rPr>
        <w:t>教材原句</w:t>
      </w:r>
    </w:p>
    <w:p>
      <w:pPr>
        <w:spacing w:line="360" w:lineRule="auto" w:after="40"/>
        <w:ind w:firstLine="420"/>
      </w:pPr>
      <w:r>
        <w:t>"Unlike traditional KYC, perpetual KYC is a continuous process."</w:t>
      </w:r>
    </w:p>
    <w:p>
      <w:pPr>
        <w:spacing w:before="120" w:after="40"/>
      </w:pPr>
      <w:r>
        <w:rPr>
          <w:b/>
          <w:sz w:val="21"/>
          <w:shd w:fill="D6E4F0" w:val="clear"/>
        </w:rPr>
        <w:t>B项错误</w:t>
      </w:r>
    </w:p>
    <w:p>
      <w:pPr>
        <w:spacing w:line="360" w:lineRule="auto" w:after="40"/>
        <w:ind w:firstLine="420"/>
      </w:pPr>
      <w:r>
        <w:t>教材将“按固定间隔（如1至5年）更新客户信息”明确归入Periodic KYC（定期KYC）的定义</w:t>
      </w:r>
      <w:r>
        <w:rPr>
          <w:sz w:val="15"/>
          <w:vertAlign w:val="superscript"/>
        </w:rPr>
        <w:t>P374</w:t>
      </w:r>
      <w:r>
        <w:t>，而题干问的是Perpetual KYC（持续KYC）所包含的内容。Perpetual KYC的特征恰在于突破这种固定时间表的限制，因此选项B更吻合Periodic KYC而非本题所问。</w:t>
      </w:r>
    </w:p>
    <w:p>
      <w:pPr>
        <w:spacing w:before="120" w:after="40"/>
      </w:pPr>
      <w:r>
        <w:rPr>
          <w:b/>
          <w:sz w:val="21"/>
          <w:shd w:fill="D6E4F0" w:val="clear"/>
        </w:rPr>
        <w:t>D项错误</w:t>
      </w:r>
    </w:p>
    <w:p>
      <w:pPr>
        <w:spacing w:line="360" w:lineRule="auto" w:after="40"/>
        <w:ind w:firstLine="420"/>
      </w:pPr>
      <w:r>
        <w:t>教材将“按风险类别对客户进行分类”描述为传统KYC在客户准入环节执行的操作</w:t>
      </w:r>
      <w:r>
        <w:rPr>
          <w:sz w:val="15"/>
          <w:vertAlign w:val="superscript"/>
        </w:rPr>
        <w:t>P406</w:t>
      </w:r>
      <w:r>
        <w:t>。虽然该分类是后续进行定期或持续监控的基础，但其本身并非Perpetual KYC作为一个“持续过程”所特有的内涵，匹配度不如A和C直接。</w:t>
      </w:r>
    </w:p>
    <w:p>
      <w:pPr>
        <w:spacing w:before="120" w:after="40"/>
      </w:pPr>
      <w:r>
        <w:rPr>
          <w:b/>
          <w:sz w:val="21"/>
          <w:shd w:fill="D6E4F0" w:val="clear"/>
        </w:rPr>
        <w:t>易错提醒</w:t>
      </w:r>
    </w:p>
    <w:p>
      <w:pPr>
        <w:spacing w:line="360" w:lineRule="auto" w:after="40"/>
        <w:ind w:firstLine="420"/>
      </w:pPr>
      <w:r>
        <w:t>Periodic KYC是按固定时间间隔（如1-5年）更新客户信息</w:t>
      </w:r>
      <w:r>
        <w:rPr>
          <w:sz w:val="15"/>
          <w:vertAlign w:val="superscript"/>
        </w:rPr>
        <w:t>P374</w:t>
      </w:r>
      <w:r>
        <w:t>，是定期、事件驱动的；Perpetual KYC是持续、数据驱动的动态过程</w:t>
      </w:r>
      <w:r>
        <w:rPr>
          <w:sz w:val="15"/>
          <w:vertAlign w:val="superscript"/>
        </w:rPr>
        <w:t>P406</w:t>
      </w:r>
      <w:r>
        <w:t>，不依赖固定时间表，而是通过触发器实时响应变化</w:t>
      </w:r>
      <w:r>
        <w:rPr>
          <w:sz w:val="15"/>
          <w:vertAlign w:val="superscript"/>
        </w:rPr>
        <w:t>P406</w:t>
      </w:r>
      <w:r>
        <w:t>。这一区别是区分两者的关键。</w:t>
      </w:r>
    </w:p>
    <w:p>
      <w:pPr>
        <w:spacing w:line="360" w:lineRule="auto" w:after="120"/>
      </w:pPr>
      <w:r/>
    </w:p>
    <w:p>
      <w:pPr>
        <w:spacing w:line="360" w:lineRule="auto" w:after="40"/>
      </w:pPr>
      <w:r>
        <w:t>3. Which of the following are benefits of the latest KYC solutions, including but not limited to digital onboarding, eKYC, digital identity, facial recognition, liveness checks, biometrics, and geolocation? (Choose Three.) ( )</w:t>
      </w:r>
    </w:p>
    <w:p>
      <w:pPr>
        <w:spacing w:line="360" w:lineRule="auto" w:after="20"/>
        <w:ind w:firstLine="283"/>
      </w:pPr>
      <w:r>
        <w:t>A. Guaranteeing 100% accuracy in regulatory compliance across all jurisdictions.</w:t>
      </w:r>
    </w:p>
    <w:p>
      <w:pPr>
        <w:spacing w:line="360" w:lineRule="auto" w:after="20"/>
        <w:ind w:firstLine="283"/>
      </w:pPr>
      <w:r>
        <w:t>B. Improving customer satisfaction by offering personalized recommendations.</w:t>
      </w:r>
    </w:p>
    <w:p>
      <w:pPr>
        <w:spacing w:line="360" w:lineRule="auto" w:after="20"/>
        <w:ind w:firstLine="283"/>
      </w:pPr>
      <w:r>
        <w:t>C. Reducing identity theft effectively.</w:t>
      </w:r>
    </w:p>
    <w:p>
      <w:pPr>
        <w:spacing w:line="360" w:lineRule="auto" w:after="20"/>
        <w:ind w:firstLine="283"/>
      </w:pPr>
      <w:r>
        <w:t>D. Providing reliable customer authentication to enhance trust.</w:t>
      </w:r>
    </w:p>
    <w:p>
      <w:pPr>
        <w:spacing w:line="360" w:lineRule="auto" w:after="20"/>
        <w:ind w:firstLine="283"/>
      </w:pPr>
      <w:r>
        <w:t>E. Decreasing the time required for customer authentication.</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识别最新KYC技术在安全、防欺诈与效率方面的核心优势</w:t>
      </w:r>
    </w:p>
    <w:p>
      <w:pPr>
        <w:spacing w:before="120" w:after="40"/>
      </w:pPr>
      <w:r>
        <w:rPr>
          <w:b/>
          <w:sz w:val="21"/>
          <w:shd w:fill="D6E4F0" w:val="clear"/>
        </w:rPr>
        <w:t>核心解析</w:t>
      </w:r>
    </w:p>
    <w:p>
      <w:pPr>
        <w:spacing w:line="360" w:lineRule="auto" w:after="40"/>
        <w:ind w:firstLine="420"/>
      </w:pPr>
      <w:r>
        <w:t>教材指出，最新的KYC技术能确保机构准确、安全地验证客户身份</w:t>
      </w:r>
      <w:r>
        <w:rPr>
          <w:sz w:val="15"/>
          <w:vertAlign w:val="superscript"/>
        </w:rPr>
        <w:t>P409</w:t>
      </w:r>
      <w:r>
        <w:t>，这直接支持了“提供可靠的客户身份验证以增强信任”（选项D）。同时，电子KYC通过生物识别等验证方法增强安全性，有助于预防和检测身份欺诈</w:t>
      </w:r>
      <w:r>
        <w:rPr>
          <w:sz w:val="15"/>
          <w:vertAlign w:val="superscript"/>
        </w:rPr>
        <w:t>P406</w:t>
      </w:r>
      <w:r>
        <w:t>，且生物特征数据的独特性使其极难复制，显著降低身份盗窃和欺诈风险</w:t>
      </w:r>
      <w:r>
        <w:rPr>
          <w:sz w:val="15"/>
          <w:vertAlign w:val="superscript"/>
        </w:rPr>
        <w:t>P411</w:t>
      </w:r>
      <w:r>
        <w:t>，这直接对应“有效减少身份盗用”（选项C）。在效率方面，技术旨在通过减少开户所需时间来改善客户体验</w:t>
      </w:r>
      <w:r>
        <w:rPr>
          <w:sz w:val="15"/>
          <w:vertAlign w:val="superscript"/>
        </w:rPr>
        <w:t>P404</w:t>
      </w:r>
      <w:r>
        <w:t>，且使用生物特征进行验证可提高流程效率和速度，优于传统方法</w:t>
      </w:r>
      <w:r>
        <w:rPr>
          <w:sz w:val="15"/>
          <w:vertAlign w:val="superscript"/>
        </w:rPr>
        <w:t>P411</w:t>
      </w:r>
      <w:r>
        <w:t>，这正吻合“减少客户身份验证所需的时间”（选项E）。综上，C、D、E三项均是教材明确定义的最新KYC解决方案的优势。</w:t>
      </w:r>
    </w:p>
    <w:p>
      <w:pPr>
        <w:spacing w:before="120" w:after="40"/>
      </w:pPr>
      <w:r>
        <w:rPr>
          <w:b/>
          <w:sz w:val="21"/>
          <w:shd w:fill="D6E4F0" w:val="clear"/>
        </w:rPr>
        <w:t>A项错误</w:t>
      </w:r>
    </w:p>
    <w:p>
      <w:pPr>
        <w:spacing w:line="360" w:lineRule="auto" w:after="40"/>
        <w:ind w:firstLine="420"/>
      </w:pPr>
      <w:r>
        <w:t>教材指出人脸和语音识别等技术存在产生误报、被欺骗（如深度伪造）以及数据泄露等重大风险（P413-414），因此“达到100%的准确率”与教材陈述不符。相比之下，D项“提供可靠的验证以增强信任”更准确地反映了教材中关于这些技术旨在提升准确性与安全性的表述。</w:t>
      </w:r>
    </w:p>
    <w:p>
      <w:pPr>
        <w:spacing w:before="120" w:after="40"/>
      </w:pPr>
      <w:r>
        <w:rPr>
          <w:b/>
          <w:sz w:val="21"/>
          <w:shd w:fill="D6E4F0" w:val="clear"/>
        </w:rPr>
        <w:t>B项错误</w:t>
      </w:r>
    </w:p>
    <w:p>
      <w:pPr>
        <w:spacing w:line="360" w:lineRule="auto" w:after="40"/>
        <w:ind w:firstLine="420"/>
      </w:pPr>
      <w:r>
        <w:t>该选项将好处指向“个性化推荐”，属于客户营销或关系管理范畴。教材在讨论最新KYC技术的优势时，聚焦于简化流程、增强安全和提高效率来改善客户体验</w:t>
      </w:r>
      <w:r>
        <w:rPr>
          <w:sz w:val="15"/>
          <w:vertAlign w:val="superscript"/>
        </w:rPr>
        <w:t>P410</w:t>
      </w:r>
      <w:r>
        <w:t>，并未将“提供个性化推荐”列为其优势。题干更支持C、D、E等与身份验证直接相关的优势。</w:t>
      </w:r>
    </w:p>
    <w:p>
      <w:pPr>
        <w:spacing w:before="120" w:after="40"/>
      </w:pPr>
      <w:r>
        <w:rPr>
          <w:b/>
          <w:sz w:val="21"/>
          <w:shd w:fill="D6E4F0" w:val="clear"/>
        </w:rPr>
        <w:t>易错提醒</w:t>
      </w:r>
    </w:p>
    <w:p>
      <w:pPr>
        <w:spacing w:line="360" w:lineRule="auto" w:after="40"/>
        <w:ind w:firstLine="420"/>
      </w:pPr>
      <w:r>
        <w:t>“改善客户体验”不等于“个性化推荐”。教材中，KYC技术对客户体验的改善具体指：远程开户无需亲临网点</w:t>
      </w:r>
      <w:r>
        <w:rPr>
          <w:sz w:val="15"/>
          <w:vertAlign w:val="superscript"/>
        </w:rPr>
        <w:t>P414</w:t>
      </w:r>
      <w:r>
        <w:t>、流程更快更流畅</w:t>
      </w:r>
      <w:r>
        <w:rPr>
          <w:sz w:val="15"/>
          <w:vertAlign w:val="superscript"/>
        </w:rPr>
        <w:t>P410</w:t>
      </w:r>
      <w:r>
        <w:t>、无需记住密码</w:t>
      </w:r>
      <w:r>
        <w:rPr>
          <w:sz w:val="15"/>
          <w:vertAlign w:val="superscript"/>
        </w:rPr>
        <w:t>P411</w:t>
      </w:r>
      <w:r>
        <w:t>等。</w:t>
      </w:r>
    </w:p>
    <w:p>
      <w:pPr>
        <w:spacing w:line="360" w:lineRule="auto" w:after="120"/>
      </w:pPr>
      <w:r/>
    </w:p>
    <w:p>
      <w:pPr>
        <w:spacing w:line="360" w:lineRule="auto" w:after="40"/>
      </w:pPr>
      <w:r>
        <w:t>4. Challenges in the implementation of new technologies for AML/CFT include: (Select four.) ( )</w:t>
      </w:r>
    </w:p>
    <w:p>
      <w:pPr>
        <w:spacing w:line="360" w:lineRule="auto" w:after="20"/>
        <w:ind w:firstLine="283"/>
      </w:pPr>
      <w:r>
        <w:t>A. Data privacy.</w:t>
      </w:r>
    </w:p>
    <w:p>
      <w:pPr>
        <w:spacing w:line="360" w:lineRule="auto" w:after="20"/>
        <w:ind w:firstLine="283"/>
      </w:pPr>
      <w:r>
        <w:t>B. Enhanced due diligence (EDD) policies.</w:t>
      </w:r>
    </w:p>
    <w:p>
      <w:pPr>
        <w:spacing w:line="360" w:lineRule="auto" w:after="20"/>
        <w:ind w:firstLine="283"/>
      </w:pPr>
      <w:r>
        <w:t>C. The Travel Rule.</w:t>
      </w:r>
    </w:p>
    <w:p>
      <w:pPr>
        <w:spacing w:line="360" w:lineRule="auto" w:after="20"/>
        <w:ind w:firstLine="283"/>
      </w:pPr>
      <w:r>
        <w:t>D. Data quality.</w:t>
      </w:r>
    </w:p>
    <w:p>
      <w:pPr>
        <w:spacing w:line="360" w:lineRule="auto" w:after="20"/>
        <w:ind w:firstLine="283"/>
      </w:pPr>
      <w:r>
        <w:t>E. Complexity.</w:t>
      </w:r>
    </w:p>
    <w:p>
      <w:pPr>
        <w:spacing w:line="360" w:lineRule="auto" w:after="20"/>
        <w:ind w:firstLine="283"/>
      </w:pPr>
      <w:r>
        <w:t>F. Regulatory.</w:t>
      </w:r>
    </w:p>
    <w:p>
      <w:pPr>
        <w:spacing w:line="360" w:lineRule="auto" w:after="40"/>
      </w:pPr>
      <w:r>
        <w:t>答案：A、D、E、F</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区分新技术实施层面的挑战与日常反洗钱合规程序</w:t>
      </w:r>
    </w:p>
    <w:p>
      <w:pPr>
        <w:spacing w:before="120" w:after="40"/>
      </w:pPr>
      <w:r>
        <w:rPr>
          <w:b/>
          <w:sz w:val="21"/>
          <w:shd w:fill="D6E4F0" w:val="clear"/>
        </w:rPr>
        <w:t>核心解析</w:t>
      </w:r>
    </w:p>
    <w:p>
      <w:pPr>
        <w:spacing w:line="360" w:lineRule="auto" w:after="40"/>
        <w:ind w:firstLine="420"/>
      </w:pPr>
      <w:r>
        <w:t>教材在讨论KYC技术时指出，此类技术存在复杂性、可扩展性问题和高实施成本，确保数据隐私是另一重大挑战</w:t>
      </w:r>
      <w:r>
        <w:rPr>
          <w:sz w:val="15"/>
          <w:vertAlign w:val="superscript"/>
        </w:rPr>
        <w:t>P410</w:t>
      </w:r>
      <w:r>
        <w:t>。同时，在决定是否迁移到新技术栈时，实施复杂性、数据质量和组织准备度被视为关键成功因素</w:t>
      </w:r>
      <w:r>
        <w:rPr>
          <w:sz w:val="15"/>
          <w:vertAlign w:val="superscript"/>
        </w:rPr>
        <w:t>P384</w:t>
      </w:r>
      <w:r>
        <w:t>。此外，采用金融犯罪技术需考量监管合规与适应性，遵守隐私法律并确保数据安全</w:t>
      </w:r>
      <w:r>
        <w:rPr>
          <w:sz w:val="15"/>
          <w:vertAlign w:val="superscript"/>
        </w:rPr>
        <w:t>P378</w:t>
      </w:r>
      <w:r>
        <w:t>。由此可知，“数据隐私”“数据质量”“复杂性”“监管的”均属于新技术实施面临的典型挑战。题干要求选择四项，这四个选项与教材所述的技术实施障碍直接吻合。</w:t>
      </w:r>
    </w:p>
    <w:p>
      <w:pPr>
        <w:spacing w:before="120" w:after="40"/>
      </w:pPr>
      <w:r>
        <w:rPr>
          <w:b/>
          <w:sz w:val="21"/>
          <w:shd w:fill="D6E4F0" w:val="clear"/>
        </w:rPr>
        <w:t>教材原句</w:t>
      </w:r>
    </w:p>
    <w:p>
      <w:pPr>
        <w:spacing w:line="360" w:lineRule="auto" w:after="40"/>
        <w:ind w:firstLine="420"/>
      </w:pPr>
      <w:r>
        <w:t>"However, these technologies come with some disadvantages, including complexity, scalability issues for long-term growth, and high implementation costs. Ensuring data privacy while implementing these technologies is another major challenge."</w:t>
      </w:r>
    </w:p>
    <w:p>
      <w:pPr>
        <w:spacing w:before="120" w:after="40"/>
      </w:pPr>
      <w:r>
        <w:rPr>
          <w:b/>
          <w:sz w:val="21"/>
          <w:shd w:fill="D6E4F0" w:val="clear"/>
        </w:rPr>
        <w:t>B项错误</w:t>
      </w:r>
    </w:p>
    <w:p>
      <w:pPr>
        <w:spacing w:line="360" w:lineRule="auto" w:after="40"/>
        <w:ind w:firstLine="420"/>
      </w:pPr>
      <w:r>
        <w:t>增强型尽职调查（EDD）政策是针对高风险客户的强化身份识别与监控措施</w:t>
      </w:r>
      <w:r>
        <w:rPr>
          <w:sz w:val="15"/>
          <w:vertAlign w:val="superscript"/>
        </w:rPr>
        <w:t>P311</w:t>
      </w:r>
      <w:r>
        <w:t>，属于反洗钱合规程序的组成部分，而非技术实施过程中的固有困难。题干问的是新技术本身带来的挑战，EDD政策与这一维度的匹配度不如正确项。</w:t>
      </w:r>
    </w:p>
    <w:p>
      <w:pPr>
        <w:spacing w:before="120" w:after="40"/>
      </w:pPr>
      <w:r>
        <w:rPr>
          <w:b/>
          <w:sz w:val="21"/>
          <w:shd w:fill="D6E4F0" w:val="clear"/>
        </w:rPr>
        <w:t>C项错误</w:t>
      </w:r>
    </w:p>
    <w:p>
      <w:pPr>
        <w:spacing w:line="360" w:lineRule="auto" w:after="40"/>
        <w:ind w:firstLine="420"/>
      </w:pPr>
      <w:r>
        <w:t>旅行规则是资金转移时要求传输发起方和受益方信息的监管规定，属于具体合规要求而非技术实施挑战。题干更直接指向技术部署时的数据、复杂性和监管适应性问题，旅行规则的匹配度不如这些正确项。</w:t>
      </w:r>
    </w:p>
    <w:p>
      <w:pPr>
        <w:spacing w:line="360" w:lineRule="auto" w:after="120"/>
      </w:pPr>
      <w:r/>
    </w:p>
    <w:p>
      <w:pPr>
        <w:spacing w:line="360" w:lineRule="auto" w:after="40"/>
      </w:pPr>
      <w:r>
        <w:t>5. A financial institution has received complaints about friction in the onboarding process when additional information is requested. Which potential solutions could help ensure a better customer onboarding experience with reduced friction? (Select two.) ( )</w:t>
      </w:r>
    </w:p>
    <w:p>
      <w:pPr>
        <w:spacing w:line="360" w:lineRule="auto" w:after="20"/>
        <w:ind w:firstLine="283"/>
      </w:pPr>
      <w:r>
        <w:t>A. Implement internal or external tools that streamline onboarding processes</w:t>
      </w:r>
    </w:p>
    <w:p>
      <w:pPr>
        <w:spacing w:line="360" w:lineRule="auto" w:after="20"/>
        <w:ind w:firstLine="283"/>
      </w:pPr>
      <w:r>
        <w:t>B. Implement new processes only once every three years to ensure consistency</w:t>
      </w:r>
    </w:p>
    <w:p>
      <w:pPr>
        <w:spacing w:line="360" w:lineRule="auto" w:after="20"/>
        <w:ind w:firstLine="283"/>
      </w:pPr>
      <w:r>
        <w:t>C. Ensure consistent training of all employees on new processes, policies, and tools</w:t>
      </w:r>
    </w:p>
    <w:p>
      <w:pPr>
        <w:spacing w:line="360" w:lineRule="auto" w:after="20"/>
        <w:ind w:firstLine="283"/>
      </w:pPr>
      <w:r>
        <w:t>D. Ensure that only team leads or managers have decision-making power</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识别提升客户开户体验的两个核心抓手：技术简化与持续培训</w:t>
      </w:r>
    </w:p>
    <w:p>
      <w:pPr>
        <w:spacing w:before="120" w:after="40"/>
      </w:pPr>
      <w:r>
        <w:rPr>
          <w:b/>
          <w:sz w:val="21"/>
          <w:shd w:fill="D6E4F0" w:val="clear"/>
        </w:rPr>
        <w:t>核心解析</w:t>
      </w:r>
    </w:p>
    <w:p>
      <w:pPr>
        <w:spacing w:line="360" w:lineRule="auto" w:after="40"/>
        <w:ind w:firstLine="420"/>
      </w:pPr>
      <w:r>
        <w:t>教材指出，技术在客户开户中的最终目标是通过减少开户所需时间来预防金融犯罪，同时改善整体客户体验</w:t>
      </w:r>
      <w:r>
        <w:rPr>
          <w:sz w:val="15"/>
          <w:vertAlign w:val="superscript"/>
        </w:rPr>
        <w:t>P404</w:t>
      </w:r>
      <w:r>
        <w:t>。当客户因额外信息要求而在开户流程中遭遇阻碍时，最直接的缓解路径有两条：一是用工具简化流程本身（选项A），二是通过培训让员工正确使用新流程、政策与工具（选项C），从而在实际操作中减少因人为不熟练或政策理解偏差造成的摩擦。前者作用于“流程设计”层，后者作用于“人员执行”层，二者组合覆盖了题目所描述的“流程中遭遇阻碍”这一场景。相比之下，选项B将流程更新频率锁定为三年一次，与教材强调的金融机构需随技术驱动方案不断调整工作方式</w:t>
      </w:r>
      <w:r>
        <w:rPr>
          <w:sz w:val="15"/>
          <w:vertAlign w:val="superscript"/>
        </w:rPr>
        <w:t>P405</w:t>
      </w:r>
      <w:r>
        <w:t>相悖，反而可能固化现有阻碍；选项D将决策权集中于少数角色，削减了与客户直接互动的一线员工的处置空间，更难以及时解决客户在开户过程中的具体障碍。</w:t>
      </w:r>
    </w:p>
    <w:p>
      <w:pPr>
        <w:spacing w:before="120" w:after="40"/>
      </w:pPr>
      <w:r>
        <w:rPr>
          <w:b/>
          <w:sz w:val="21"/>
          <w:shd w:fill="D6E4F0" w:val="clear"/>
        </w:rPr>
        <w:t>教材原句</w:t>
      </w:r>
    </w:p>
    <w:p>
      <w:pPr>
        <w:spacing w:line="360" w:lineRule="auto" w:after="40"/>
        <w:ind w:firstLine="420"/>
      </w:pPr>
      <w:r>
        <w:t>"Technology improves process efficiency in several ways, but the ultimate goal is to prevent financial crime while enhancing the overall customer experience by reducing the time required to open an account."</w:t>
      </w:r>
    </w:p>
    <w:p>
      <w:pPr>
        <w:spacing w:before="120" w:after="40"/>
      </w:pPr>
      <w:r>
        <w:rPr>
          <w:b/>
          <w:sz w:val="21"/>
          <w:shd w:fill="D6E4F0" w:val="clear"/>
        </w:rPr>
        <w:t>B项错误</w:t>
      </w:r>
    </w:p>
    <w:p>
      <w:pPr>
        <w:spacing w:line="360" w:lineRule="auto" w:after="40"/>
        <w:ind w:firstLine="420"/>
      </w:pPr>
      <w:r>
        <w:t>教材强调金融机构需随技术驱动的世界不断调整工作方式</w:t>
      </w:r>
      <w:r>
        <w:rPr>
          <w:sz w:val="15"/>
          <w:vertAlign w:val="superscript"/>
        </w:rPr>
        <w:t>P405</w:t>
      </w:r>
      <w:r>
        <w:t>，且政策审查频率应基于风险性质灵活调整</w:t>
      </w:r>
      <w:r>
        <w:rPr>
          <w:sz w:val="15"/>
          <w:vertAlign w:val="superscript"/>
        </w:rPr>
        <w:t>P293</w:t>
      </w:r>
      <w:r>
        <w:t>。将新流程实施严格限定为“每三年一次”，在回应题干“减少阻碍”的目标时，更像是在锁定现有流程而非响应性地优化它，匹配度不如A和C直接。</w:t>
      </w:r>
    </w:p>
    <w:p>
      <w:pPr>
        <w:spacing w:before="120" w:after="40"/>
      </w:pPr>
      <w:r>
        <w:rPr>
          <w:b/>
          <w:sz w:val="21"/>
          <w:shd w:fill="D6E4F0" w:val="clear"/>
        </w:rPr>
        <w:t>D项错误</w:t>
      </w:r>
    </w:p>
    <w:p>
      <w:pPr>
        <w:spacing w:line="360" w:lineRule="auto" w:after="40"/>
        <w:ind w:firstLine="420"/>
      </w:pPr>
      <w:r>
        <w:t>教材在描述决策流程时强调自上而下的董事会领导与自下而上的管理层反馈相结合</w:t>
      </w:r>
      <w:r>
        <w:rPr>
          <w:sz w:val="15"/>
          <w:vertAlign w:val="superscript"/>
        </w:rPr>
        <w:t>P272</w:t>
      </w:r>
      <w:r>
        <w:t>，并非将决策权仅限于特定角色。题干投诉指向的是客户在交互中遇到的流程阻碍，赋予一线员工通过培训获得的处置能力（如选项C所述）比集中决策权更能即时消解这些摩擦。</w:t>
      </w:r>
    </w:p>
    <w:p>
      <w:pPr>
        <w:spacing w:before="120" w:after="40"/>
      </w:pPr>
      <w:r>
        <w:rPr>
          <w:b/>
          <w:sz w:val="21"/>
          <w:shd w:fill="D6E4F0" w:val="clear"/>
        </w:rPr>
        <w:t>易错提醒</w:t>
      </w:r>
    </w:p>
    <w:p>
      <w:pPr>
        <w:spacing w:line="360" w:lineRule="auto" w:after="40"/>
        <w:ind w:firstLine="420"/>
      </w:pPr>
      <w:r>
        <w:t>选项B将“一致性”等同于很长时间不变更流程，但教材对一致性的追求是通过持续培训与动态更新</w:t>
      </w:r>
      <w:r>
        <w:rPr>
          <w:sz w:val="15"/>
          <w:vertAlign w:val="superscript"/>
        </w:rPr>
        <w:t>P293</w:t>
      </w:r>
      <w:r>
        <w:t>来实现的，而非通过拉长更新周期。真正减少客户摩擦的关键是让流程本身更简化（A）以及让执行流程的人更熟练（C），而不是让流程停止演进。</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