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CH15 (EN)</w:t>
      </w:r>
    </w:p>
    <w:p>
      <w:pPr>
        <w:spacing w:line="360" w:lineRule="auto" w:after="160"/>
      </w:pPr>
      <w:r>
        <w:t>一、单项选择题</w:t>
      </w:r>
    </w:p>
    <w:p>
      <w:pPr>
        <w:spacing w:line="360" w:lineRule="auto" w:after="40"/>
      </w:pPr>
      <w:r>
        <w:t>1. Which statement best describes a key money laundering risk associated with virtual asset service providers (VASPs), cryptoassets, and related products? ( )</w:t>
      </w:r>
    </w:p>
    <w:p>
      <w:pPr>
        <w:spacing w:line="360" w:lineRule="auto" w:after="20"/>
        <w:ind w:firstLine="283"/>
      </w:pPr>
      <w:r>
        <w:t>A. Cryptoassets can be transferred across borders quickly, but the volatility of their value still makes them less attractive for money laundering compared to traditional assets</w:t>
      </w:r>
    </w:p>
    <w:p>
      <w:pPr>
        <w:spacing w:line="360" w:lineRule="auto" w:after="20"/>
        <w:ind w:firstLine="283"/>
      </w:pPr>
      <w:r>
        <w:t>B. Mandatory reporting requirements have been implemented for certain types of crypto transactions, but gaps in regulation and enforcement still leave room for money laundering activities</w:t>
      </w:r>
    </w:p>
    <w:p>
      <w:pPr>
        <w:spacing w:line="360" w:lineRule="auto" w:after="20"/>
        <w:ind w:firstLine="283"/>
      </w:pPr>
      <w:r>
        <w:t>C. The transparency of blockchain technology helps law enforcement trace transactions, but it can also provide criminals with ways to obscure their financial activities through complex layering techniques</w:t>
      </w:r>
    </w:p>
    <w:p>
      <w:pPr>
        <w:spacing w:line="360" w:lineRule="auto" w:after="20"/>
        <w:ind w:firstLine="283"/>
      </w:pPr>
      <w:r>
        <w:t>D. The pseudonymous nature of transactions allows criminals to hide their identities while transferring large sums of money globally, making it difficult to trace the ultimate beneficial owner</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识别加密资产的假名性导致受益所有人难以追踪</w:t>
      </w:r>
    </w:p>
    <w:p>
      <w:pPr>
        <w:spacing w:before="120" w:after="40"/>
      </w:pPr>
      <w:r>
        <w:rPr>
          <w:b/>
          <w:sz w:val="21"/>
          <w:shd w:fill="D6E4F0" w:val="clear"/>
        </w:rPr>
        <w:t>核心解析</w:t>
      </w:r>
    </w:p>
    <w:p>
      <w:pPr>
        <w:spacing w:line="360" w:lineRule="auto" w:after="40"/>
        <w:ind w:firstLine="420"/>
      </w:pPr>
      <w:r>
        <w:t>教材指出，许多数字资产交易的假名（pseudonymous）性质使得所有权和身份验证极具挑战性</w:t>
      </w:r>
      <w:r>
        <w:rPr>
          <w:sz w:val="15"/>
          <w:vertAlign w:val="superscript"/>
        </w:rPr>
        <w:t>P435</w:t>
      </w:r>
      <w:r>
        <w:t>。同时，稳定币、代币和NFT的洗钱风险正是源于其假名性、跨境可达性以及监管缺失</w:t>
      </w:r>
      <w:r>
        <w:rPr>
          <w:sz w:val="15"/>
          <w:vertAlign w:val="superscript"/>
        </w:rPr>
        <w:t>P112</w:t>
      </w:r>
      <w:r>
        <w:t>。本题问的是“关键洗钱风险”，选项D直接捕捉了这一核心特征——假名交易让犯罪分子在全球转移大额资金时隐藏身份，导致追踪最终受益所有人异常困难。相比之下，波动性、监管漏洞和分层技术虽然也与风险相关，但不是教材定义风险根源的首位要点。</w:t>
      </w:r>
    </w:p>
    <w:p>
      <w:pPr>
        <w:spacing w:before="120" w:after="40"/>
      </w:pPr>
      <w:r>
        <w:rPr>
          <w:b/>
          <w:sz w:val="21"/>
          <w:shd w:fill="D6E4F0" w:val="clear"/>
        </w:rPr>
        <w:t>教材原句</w:t>
      </w:r>
    </w:p>
    <w:p>
      <w:pPr>
        <w:spacing w:line="360" w:lineRule="auto" w:after="40"/>
        <w:ind w:firstLine="420"/>
      </w:pPr>
      <w:r>
        <w:t>"However, the pseudonymous nature of many digital asset transactions may make ownership and identity verification challenging."</w:t>
      </w:r>
    </w:p>
    <w:p>
      <w:pPr>
        <w:spacing w:before="120" w:after="40"/>
      </w:pPr>
      <w:r>
        <w:rPr>
          <w:b/>
          <w:sz w:val="21"/>
          <w:shd w:fill="D6E4F0" w:val="clear"/>
        </w:rPr>
        <w:t>A项错误</w:t>
      </w:r>
    </w:p>
    <w:p>
      <w:pPr>
        <w:spacing w:line="360" w:lineRule="auto" w:after="40"/>
        <w:ind w:firstLine="420"/>
      </w:pPr>
      <w:r>
        <w:t>教材指出代币和NFT价格波动剧烈，反而因能掩盖交易痕迹而带来更大的洗钱风险</w:t>
      </w:r>
      <w:r>
        <w:rPr>
          <w:sz w:val="15"/>
          <w:vertAlign w:val="superscript"/>
        </w:rPr>
        <w:t>P113</w:t>
      </w:r>
      <w:r>
        <w:t>，并非因波动性降低吸引力。题干的核心风险更直接指向假名性导致的身份隐匿，而非价值稳定性问题。</w:t>
      </w:r>
    </w:p>
    <w:p>
      <w:pPr>
        <w:spacing w:before="120" w:after="40"/>
      </w:pPr>
      <w:r>
        <w:rPr>
          <w:b/>
          <w:sz w:val="21"/>
          <w:shd w:fill="D6E4F0" w:val="clear"/>
        </w:rPr>
        <w:t>B项错误</w:t>
      </w:r>
    </w:p>
    <w:p>
      <w:pPr>
        <w:spacing w:line="360" w:lineRule="auto" w:after="40"/>
        <w:ind w:firstLine="420"/>
      </w:pPr>
      <w:r>
        <w:t>教材确实提到加密资产生态系统面临监管缺失</w:t>
      </w:r>
      <w:r>
        <w:rPr>
          <w:sz w:val="15"/>
          <w:vertAlign w:val="superscript"/>
        </w:rPr>
        <w:t>P112</w:t>
      </w:r>
      <w:r>
        <w:t>，但这是背景性因素，题干所问的“关键洗钱风险”更直接对应假名性带来的受益所有人追踪难题，而非监管报告要求的漏洞。</w:t>
      </w:r>
    </w:p>
    <w:p>
      <w:pPr>
        <w:spacing w:before="120" w:after="40"/>
      </w:pPr>
      <w:r>
        <w:rPr>
          <w:b/>
          <w:sz w:val="21"/>
          <w:shd w:fill="D6E4F0" w:val="clear"/>
        </w:rPr>
        <w:t>C项错误</w:t>
      </w:r>
    </w:p>
    <w:p>
      <w:pPr>
        <w:spacing w:line="360" w:lineRule="auto" w:after="40"/>
        <w:ind w:firstLine="420"/>
      </w:pPr>
      <w:r>
        <w:t>教材承认犯罪分子使用混币、跨链等复杂技术掩盖资金流向</w:t>
      </w:r>
      <w:r>
        <w:rPr>
          <w:sz w:val="15"/>
          <w:vertAlign w:val="superscript"/>
        </w:rPr>
        <w:t>P456</w:t>
      </w:r>
      <w:r>
        <w:t>，但这些技术是增强假名性的手段，而非风险根源本身。题干更匹配教材强调的假名性导致身份验证困难这一根本风险。</w:t>
      </w:r>
    </w:p>
    <w:p>
      <w:pPr>
        <w:spacing w:before="120" w:after="40"/>
      </w:pPr>
      <w:r>
        <w:rPr>
          <w:b/>
          <w:sz w:val="21"/>
          <w:shd w:fill="D6E4F0" w:val="clear"/>
        </w:rPr>
        <w:t>易错提醒</w:t>
      </w:r>
    </w:p>
    <w:p>
      <w:pPr>
        <w:spacing w:line="360" w:lineRule="auto" w:after="40"/>
        <w:ind w:firstLine="420"/>
      </w:pPr>
      <w:r>
        <w:t>教材使用“pseudonymous（假名）”而非“anonymous（匿名）”，因为交易记录在公开账本上并非完全匿名，但假名性仍足以隐藏真实身份。注意区分用词，洗钱风险源于假名性导致的受益所有人追踪困难</w:t>
      </w:r>
      <w:r>
        <w:rPr>
          <w:sz w:val="15"/>
          <w:vertAlign w:val="superscript"/>
        </w:rPr>
        <w:t>P435，P112</w:t>
      </w:r>
      <w:r>
        <w:t>。</w:t>
      </w:r>
    </w:p>
    <w:p>
      <w:pPr>
        <w:spacing w:line="360" w:lineRule="auto" w:after="120"/>
      </w:pPr>
      <w:r/>
    </w:p>
    <w:p>
      <w:pPr>
        <w:spacing w:line="360" w:lineRule="auto" w:after="40"/>
      </w:pPr>
      <w:r>
        <w:t>2. A bank notices inconsistent tagging of blockchain transactions due to the lack of standardized payment message formats. Which functionality should be prioritized in the transaction screening tool to address this issue? ( )</w:t>
      </w:r>
    </w:p>
    <w:p>
      <w:pPr>
        <w:spacing w:line="360" w:lineRule="auto" w:after="20"/>
        <w:ind w:firstLine="283"/>
      </w:pPr>
      <w:r>
        <w:t>A. Enhanced sanctions screening of traditional payment messages</w:t>
      </w:r>
    </w:p>
    <w:p>
      <w:pPr>
        <w:spacing w:line="360" w:lineRule="auto" w:after="20"/>
        <w:ind w:firstLine="283"/>
      </w:pPr>
      <w:r>
        <w:t>B. Periodic manual review of blockchain-related transactions</w:t>
      </w:r>
    </w:p>
    <w:p>
      <w:pPr>
        <w:spacing w:line="360" w:lineRule="auto" w:after="20"/>
        <w:ind w:firstLine="283"/>
      </w:pPr>
      <w:r>
        <w:t>C. Integration with blockchain analytics providers</w:t>
      </w:r>
    </w:p>
    <w:p>
      <w:pPr>
        <w:spacing w:line="360" w:lineRule="auto" w:after="20"/>
        <w:ind w:firstLine="283"/>
      </w:pPr>
      <w:r>
        <w:t>D. Rule-based systems that focus only on known wallet addresses</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区块链交易标记不一致应优先集成专用分析工具而非传统筛查</w:t>
      </w:r>
    </w:p>
    <w:p>
      <w:pPr>
        <w:spacing w:before="120" w:after="40"/>
      </w:pPr>
      <w:r>
        <w:rPr>
          <w:b/>
          <w:sz w:val="21"/>
          <w:shd w:fill="D6E4F0" w:val="clear"/>
        </w:rPr>
        <w:t>核心解析</w:t>
      </w:r>
    </w:p>
    <w:p>
      <w:pPr>
        <w:spacing w:line="360" w:lineRule="auto" w:after="40"/>
        <w:ind w:firstLine="420"/>
      </w:pPr>
      <w:r>
        <w:t>数字资产交易与传统金融的关键区别在于交易信息的可靠性和透明度，传统银行业遵循标准化的KYC和AML协议，而数字资产交易可能缺乏普遍接受的合规措施</w:t>
      </w:r>
      <w:r>
        <w:rPr>
          <w:sz w:val="15"/>
          <w:vertAlign w:val="superscript"/>
        </w:rPr>
        <w:t>P434</w:t>
      </w:r>
      <w:r>
        <w:t>。题干指出银行因“缺乏标准化的支付消息格式”导致区块链交易标记不一致，这恰好是数字资产交易信息不标准、不透明问题的直接表现。区块链分析提供商专门解决此问题，其内置的聚类功能可以将分散的地址归入同一钱包进行分析，绕过对标准化消息格式的依赖，从根本上解决标记不一致导致的筛查困难（P486-487）。教材原文也明确描述筛查过程需要“结合链上数据和链下风险情报数据库”</w:t>
      </w:r>
      <w:r>
        <w:rPr>
          <w:sz w:val="15"/>
          <w:vertAlign w:val="superscript"/>
        </w:rPr>
        <w:t>P434</w:t>
      </w:r>
      <w:r>
        <w:t>，区块链分析提供商正是这一能力的专业实现。因此，在交易筛查工具中优先集成此类专业分析提供商，是最直接匹配题干问题根源的解决方案。</w:t>
      </w:r>
    </w:p>
    <w:p>
      <w:pPr>
        <w:spacing w:before="120" w:after="40"/>
      </w:pPr>
      <w:r>
        <w:rPr>
          <w:b/>
          <w:sz w:val="21"/>
          <w:shd w:fill="D6E4F0" w:val="clear"/>
        </w:rPr>
        <w:t>A项错误</w:t>
      </w:r>
    </w:p>
    <w:p>
      <w:pPr>
        <w:spacing w:line="360" w:lineRule="auto" w:after="40"/>
        <w:ind w:firstLine="420"/>
      </w:pPr>
      <w:r>
        <w:t>题干的问题根源是区块链交易缺乏标准化消息格式，而非传统支付筛查力度不足。在数字资产交易缺乏标准化合规措施的前提下，加强对传统支付信息的制裁筛查并不能解决标记不一致的问题，因为不一致的数据仍然无法被有效识别。相比之下，集成区块链分析工具专门针对此类非标准数据场景设计，匹配度更高。</w:t>
      </w:r>
    </w:p>
    <w:p>
      <w:pPr>
        <w:spacing w:before="120" w:after="40"/>
      </w:pPr>
      <w:r>
        <w:rPr>
          <w:b/>
          <w:sz w:val="21"/>
          <w:shd w:fill="D6E4F0" w:val="clear"/>
        </w:rPr>
        <w:t>B项错误</w:t>
      </w:r>
    </w:p>
    <w:p>
      <w:pPr>
        <w:spacing w:line="360" w:lineRule="auto" w:after="40"/>
        <w:ind w:firstLine="420"/>
      </w:pPr>
      <w:r>
        <w:t>题干问的是“应优先考虑哪项功能”，强调的是工具层面的系统性改进。区块链分析工具的聚类功能可以将地址归入同一钱包以加速分析和理解数据</w:t>
      </w:r>
      <w:r>
        <w:rPr>
          <w:sz w:val="15"/>
          <w:vertAlign w:val="superscript"/>
        </w:rPr>
        <w:t>P487</w:t>
      </w:r>
      <w:r>
        <w:t>，而定期人工审查在效率和覆盖面方面不如自动化分析工具直接解决标记不一致的根源问题。正确项比定期人工审查更匹配题干所要求的系统化、自动化的解决路径。</w:t>
      </w:r>
    </w:p>
    <w:p>
      <w:pPr>
        <w:spacing w:before="120" w:after="40"/>
      </w:pPr>
      <w:r>
        <w:rPr>
          <w:b/>
          <w:sz w:val="21"/>
          <w:shd w:fill="D6E4F0" w:val="clear"/>
        </w:rPr>
        <w:t>D项错误</w:t>
      </w:r>
    </w:p>
    <w:p>
      <w:pPr>
        <w:spacing w:line="360" w:lineRule="auto" w:after="40"/>
        <w:ind w:firstLine="420"/>
      </w:pPr>
      <w:r>
        <w:t>题干描述的问题是标记“不一致”，即存在大量未被标准化标记覆盖的交易，而非仅限于已知地址。基于规则的模型虽然简单快速，但缺乏灵活性，仅聚焦已知地址会遗漏大量待识别的新地址和标记不一致的交易</w:t>
      </w:r>
      <w:r>
        <w:rPr>
          <w:sz w:val="15"/>
          <w:vertAlign w:val="superscript"/>
        </w:rPr>
        <w:t>P417</w:t>
      </w:r>
      <w:r>
        <w:t>，这与题干要求的“解决标记不一致”的目标在覆盖面上不匹配。</w:t>
      </w:r>
    </w:p>
    <w:p>
      <w:pPr>
        <w:spacing w:before="120" w:after="40"/>
      </w:pPr>
      <w:r>
        <w:rPr>
          <w:b/>
          <w:sz w:val="21"/>
          <w:shd w:fill="D6E4F0" w:val="clear"/>
        </w:rPr>
        <w:t>易错提醒</w:t>
      </w:r>
    </w:p>
    <w:p>
      <w:pPr>
        <w:spacing w:line="360" w:lineRule="auto" w:after="40"/>
        <w:ind w:firstLine="420"/>
      </w:pPr>
      <w:r>
        <w:t>传统支付筛查工具依赖标准化的消息格式（如SWIFT），在传统银行场景中有效。但数字资产交易与传统金融的关键区别在于交易信息的可靠性和透明度，数字资产往往缺乏标准化合规措施</w:t>
      </w:r>
      <w:r>
        <w:rPr>
          <w:sz w:val="15"/>
          <w:vertAlign w:val="superscript"/>
        </w:rPr>
        <w:t>P434</w:t>
      </w:r>
      <w:r>
        <w:t>。当题干提到“区块链”“缺乏标准化支付消息格式”时，应优先考虑区块链分析工具而非在传统框架上加强。</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