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A bank is completing a periodic KYC profile review for a customer that is a small digital marketing company based in New York City. Which of the following would be a red flag? ( )</w:t>
      </w:r>
    </w:p>
    <w:p>
      <w:pPr>
        <w:spacing w:line="360" w:lineRule="auto" w:after="20"/>
        <w:ind w:firstLine="283"/>
      </w:pPr>
      <w:r>
        <w:t>A. The account activity includes deposit activity into both savings and checking accounts</w:t>
      </w:r>
    </w:p>
    <w:p>
      <w:pPr>
        <w:spacing w:line="360" w:lineRule="auto" w:after="20"/>
        <w:ind w:firstLine="283"/>
      </w:pPr>
      <w:r>
        <w:t>B. The account activity includes incoming funds transfers at irregular intervals from small businesses located in New York</w:t>
      </w:r>
    </w:p>
    <w:p>
      <w:pPr>
        <w:spacing w:line="360" w:lineRule="auto" w:after="20"/>
        <w:ind w:firstLine="283"/>
      </w:pPr>
      <w:r>
        <w:t>C. The account activity includes deposits made in multiple branches around New York City into the same account</w:t>
      </w:r>
    </w:p>
    <w:p>
      <w:pPr>
        <w:spacing w:line="360" w:lineRule="auto" w:after="20"/>
        <w:ind w:firstLine="283"/>
      </w:pPr>
      <w:r>
        <w:t>D. The account activity includes frequent purchases of tickets to industry conferences and other events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识别与客户业务画像不符的交易模式</w:t>
      </w:r>
    </w:p>
    <w:p>
      <w:pPr>
        <w:spacing w:before="120" w:after="40"/>
      </w:pPr>
      <w:r>
        <w:rPr>
          <w:b/>
          <w:sz w:val="21"/>
          <w:shd w:fill="D6E4F0" w:val="clear"/>
        </w:rPr>
        <w:t>核心解析</w:t>
      </w:r>
    </w:p>
    <w:p>
      <w:pPr>
        <w:spacing w:line="360" w:lineRule="auto" w:after="40"/>
        <w:ind w:firstLine="420"/>
      </w:pPr>
      <w:r>
        <w:t>交易监控中，与客户业务画像不符的交易是潜在金融犯罪的风险指标</w:t>
      </w:r>
      <w:r>
        <w:rPr>
          <w:sz w:val="15"/>
          <w:vertAlign w:val="superscript"/>
        </w:rPr>
        <w:t>P443</w:t>
      </w:r>
      <w:r>
        <w:t>。题干中小型数字营销公司的业务通常以线上方式运作，不会频繁在多个实体分行进行存款。选项C描述的“在纽约市多个分行向同一账户存入款项”与该公司预期业务模式明显不匹配，因此构成危险信号。</w:t>
      </w:r>
    </w:p>
    <w:p>
      <w:pPr>
        <w:spacing w:before="120" w:after="40"/>
      </w:pPr>
      <w:r>
        <w:rPr>
          <w:b/>
          <w:sz w:val="21"/>
          <w:shd w:fill="D6E4F0" w:val="clear"/>
        </w:rPr>
        <w:t>A项错误</w:t>
      </w:r>
    </w:p>
    <w:p>
      <w:pPr>
        <w:spacing w:line="360" w:lineRule="auto" w:after="40"/>
        <w:ind w:firstLine="420"/>
      </w:pPr>
      <w:r>
        <w:t>教材指出“与客户业务画像不符的交易、不明资金转移或休眠账户突然活动可能表明金融犯罪。”、“CDD需收集业务性质和行业分类信息。”、“客户尽职调查（客户尽职调查）评估客户风险等级、财务行为和预期交易”。题干中“一家银行正在为一家总部位于纽约市的小型数字营销公司完成定期的客户尽职调查档案审查.以下哪一项会是一个危险信号？”与“账户活动包括向储蓄账户和支票账户的存款活动”不一致。</w:t>
      </w:r>
    </w:p>
    <w:p>
      <w:pPr>
        <w:spacing w:before="120" w:after="40"/>
      </w:pPr>
      <w:r>
        <w:rPr>
          <w:b/>
          <w:sz w:val="21"/>
          <w:shd w:fill="D6E4F0" w:val="clear"/>
        </w:rPr>
        <w:t>B项错误</w:t>
      </w:r>
    </w:p>
    <w:p>
      <w:pPr>
        <w:spacing w:line="360" w:lineRule="auto" w:after="40"/>
        <w:ind w:firstLine="420"/>
      </w:pPr>
      <w:r>
        <w:t>来自纽约本地小企业的不定期转入款项，对于为本地小企业提供数字营销服务的公司而言，仍可能属于与其业务画像一致的收款活动。相比之下，正确项C展示的跨分行存款行为更显著偏离了此类公司的预期交易模式。</w:t>
      </w:r>
    </w:p>
    <w:p>
      <w:pPr>
        <w:spacing w:before="120" w:after="40"/>
      </w:pPr>
      <w:r>
        <w:rPr>
          <w:b/>
          <w:sz w:val="21"/>
          <w:shd w:fill="D6E4F0" w:val="clear"/>
        </w:rPr>
        <w:t>D项错误</w:t>
      </w:r>
    </w:p>
    <w:p>
      <w:pPr>
        <w:spacing w:line="360" w:lineRule="auto" w:after="40"/>
        <w:ind w:firstLine="420"/>
      </w:pPr>
      <w:r>
        <w:t>教材指出“与客户业务画像不符的交易、不明资金转移或休眠账户突然活动可能表明金融犯罪。”、“CDD需收集业务性质和行业分类信息。”、“客户尽职调查（客户尽职调查）评估客户风险等级、财务行为和预期交易”。题干中“一家银行正在为一家总部位于纽约市的小型数字营销公司完成定期的客户尽职调查档案审查.以下哪一项会是一个危险信号？”与“该账户的活动包括频繁购买行业会议及其他活动的门票.”不一致。</w:t>
      </w:r>
    </w:p>
    <w:p>
      <w:pPr>
        <w:spacing w:before="120" w:after="40"/>
      </w:pPr>
      <w:r>
        <w:rPr>
          <w:b/>
          <w:sz w:val="21"/>
          <w:shd w:fill="D6E4F0" w:val="clear"/>
        </w:rPr>
        <w:t>易错提醒</w:t>
      </w:r>
    </w:p>
    <w:p>
      <w:pPr>
        <w:spacing w:line="360" w:lineRule="auto" w:after="40"/>
        <w:ind w:firstLine="420"/>
      </w:pPr>
      <w:r>
        <w:t>不定期转账本身并非危险信号，关键在于交易是否与客户业务画像和预期活动一致。教材强调，风险评估后定义的监控场景应聚焦于与客户业务类型、交易行为和风险水平不匹配的活动（P443-P444）。</w:t>
      </w:r>
    </w:p>
    <w:p>
      <w:pPr>
        <w:spacing w:line="360" w:lineRule="auto" w:after="120"/>
      </w:pPr>
      <w:r/>
    </w:p>
    <w:p>
      <w:pPr>
        <w:spacing w:line="360" w:lineRule="auto" w:after="40"/>
      </w:pPr>
      <w:r>
        <w:t>2. Which scenario indicates potential money laundering activity by a lawyer? ( )</w:t>
      </w:r>
    </w:p>
    <w:p>
      <w:pPr>
        <w:spacing w:line="360" w:lineRule="auto" w:after="20"/>
        <w:ind w:firstLine="283"/>
      </w:pPr>
      <w:r>
        <w:t>A. A lawyer located in a higher-risk country deposits their firm's bank draft issued from their trust account to another lawyer's trust account located in a low-risk country for legal services rendered.</w:t>
      </w:r>
    </w:p>
    <w:p>
      <w:pPr>
        <w:spacing w:line="360" w:lineRule="auto" w:after="20"/>
        <w:ind w:firstLine="283"/>
      </w:pPr>
      <w:r>
        <w:t>B. A lawyer's trust account regularly receives wire transfers from unknown remitters from a higher-risk country and immediately transfers the same amount of funds received to a known beneficiary's account in a low-risk country.</w:t>
      </w:r>
    </w:p>
    <w:p>
      <w:pPr>
        <w:spacing w:line="360" w:lineRule="auto" w:after="20"/>
        <w:ind w:firstLine="283"/>
      </w:pPr>
      <w:r>
        <w:t>C. A lawyer's trust account receives a large-value wire transfer from a regulated insurance company and immediately transfers the same amount of funds received to the beneficiary's bank account located in a low-risk country.</w:t>
      </w:r>
    </w:p>
    <w:p>
      <w:pPr>
        <w:spacing w:line="360" w:lineRule="auto" w:after="20"/>
        <w:ind w:firstLine="283"/>
      </w:pPr>
      <w:r>
        <w:t>D. A lawyer's trust account receives a large wire transfer deposit from a client that wanted to purchase a piece of property and then transfers the same amount to the property seller's lawyer's trust account.</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识别不明汇款人频繁电汇通过信托账户转移资金的洗钱模式</w:t>
      </w:r>
    </w:p>
    <w:p>
      <w:pPr>
        <w:spacing w:before="120" w:after="40"/>
      </w:pPr>
      <w:r>
        <w:rPr>
          <w:b/>
          <w:sz w:val="21"/>
          <w:shd w:fill="D6E4F0" w:val="clear"/>
        </w:rPr>
        <w:t>核心解析</w:t>
      </w:r>
    </w:p>
    <w:p>
      <w:pPr>
        <w:spacing w:line="360" w:lineRule="auto" w:after="40"/>
        <w:ind w:firstLine="420"/>
      </w:pPr>
      <w:r>
        <w:t>不明资金转移可能表明金融犯罪</w:t>
      </w:r>
      <w:r>
        <w:rPr>
          <w:sz w:val="15"/>
          <w:vertAlign w:val="superscript"/>
        </w:rPr>
        <w:t>P443</w:t>
      </w:r>
      <w:r>
        <w:t>。律师因管理金融交易面临显著洗钱风险</w:t>
      </w:r>
      <w:r>
        <w:rPr>
          <w:sz w:val="15"/>
          <w:vertAlign w:val="superscript"/>
        </w:rPr>
        <w:t>P125</w:t>
      </w:r>
      <w:r>
        <w:t>。选项B中，律师信托账户经常收到来自高风险国家的不明汇款人的电汇，并立即将同等金额转至低风险国家一名已知受益人，体现了不明来源资金的快速转移与隐匿意图，直接吻合上述洗钱风险指标。相比之下，其他选项均有明确的合法交易目的，缺乏不明来源这一关键可疑要素。</w:t>
      </w:r>
    </w:p>
    <w:p>
      <w:pPr>
        <w:spacing w:before="120" w:after="40"/>
      </w:pPr>
      <w:r>
        <w:rPr>
          <w:b/>
          <w:sz w:val="21"/>
          <w:shd w:fill="D6E4F0" w:val="clear"/>
        </w:rPr>
        <w:t>教材原句</w:t>
      </w:r>
    </w:p>
    <w:p>
      <w:pPr>
        <w:spacing w:line="360" w:lineRule="auto" w:after="40"/>
        <w:ind w:firstLine="420"/>
      </w:pPr>
      <w:r>
        <w:t>"unexplained fund transfers, or sudden activity in dormant accounts might also indicate potential financial crime."</w:t>
      </w:r>
    </w:p>
    <w:p>
      <w:pPr>
        <w:spacing w:before="120" w:after="40"/>
      </w:pPr>
      <w:r>
        <w:rPr>
          <w:b/>
          <w:sz w:val="21"/>
          <w:shd w:fill="D6E4F0" w:val="clear"/>
        </w:rPr>
        <w:t>A项错误</w:t>
      </w:r>
    </w:p>
    <w:p>
      <w:pPr>
        <w:spacing w:line="360" w:lineRule="auto" w:after="40"/>
        <w:ind w:firstLine="420"/>
      </w:pPr>
      <w:r>
        <w:t>该交易以银行汇票支付已提供的法律服务费用，有明确的合法商业目的和可追溯的付款路径。在教材框架下，存在正当理由的资金转移不如选项B中“不明汇款人”的转移直接匹配洗钱风险指标。</w:t>
      </w:r>
    </w:p>
    <w:p>
      <w:pPr>
        <w:spacing w:before="120" w:after="40"/>
      </w:pPr>
      <w:r>
        <w:rPr>
          <w:b/>
          <w:sz w:val="21"/>
          <w:shd w:fill="D6E4F0" w:val="clear"/>
        </w:rPr>
        <w:t>C项错误</w:t>
      </w:r>
    </w:p>
    <w:p>
      <w:pPr>
        <w:spacing w:line="360" w:lineRule="auto" w:after="40"/>
        <w:ind w:firstLine="420"/>
      </w:pPr>
      <w:r>
        <w:t>汇款方为受监管保险公司，其资金来源受到严格审查，合法性较高。该交易可被合理解释为保险相关资金划转，不如选项B中来源不明的汇款那样难以追溯和可疑。</w:t>
      </w:r>
    </w:p>
    <w:p>
      <w:pPr>
        <w:spacing w:before="120" w:after="40"/>
      </w:pPr>
      <w:r>
        <w:rPr>
          <w:b/>
          <w:sz w:val="21"/>
          <w:shd w:fill="D6E4F0" w:val="clear"/>
        </w:rPr>
        <w:t>D项错误</w:t>
      </w:r>
    </w:p>
    <w:p>
      <w:pPr>
        <w:spacing w:line="360" w:lineRule="auto" w:after="40"/>
        <w:ind w:firstLine="420"/>
      </w:pPr>
      <w:r>
        <w:t>该场景属于常见的房地产交易资金托管转付，客户为购房而付款，律师代转至卖方律师账户，有明确的交易背景与最终用途。这种符合行业惯例的流转，缺乏洗钱所常伴的资金来源不明或目的不明等要素，因此不如选项B可疑。</w:t>
      </w:r>
    </w:p>
    <w:p>
      <w:pPr>
        <w:spacing w:before="120" w:after="40"/>
      </w:pPr>
      <w:r>
        <w:rPr>
          <w:b/>
          <w:sz w:val="21"/>
          <w:shd w:fill="D6E4F0" w:val="clear"/>
        </w:rPr>
        <w:t>易错提醒</w:t>
      </w:r>
    </w:p>
    <w:p>
      <w:pPr>
        <w:spacing w:line="360" w:lineRule="auto" w:after="40"/>
        <w:ind w:firstLine="420"/>
      </w:pPr>
      <w:r>
        <w:t>合法交易（如房地产过户、支付服务费）与洗钱行为的核心区分在于资金来源是否可解释、资金流转路径能否得到商业逻辑支持。当“不明汇款人”“高风险国家”“立即等额转出”等高风险要素组合出现时，即使通过信托账户，也强烈暗示洗钱。</w:t>
      </w:r>
    </w:p>
    <w:p>
      <w:pPr>
        <w:spacing w:line="360" w:lineRule="auto" w:after="120"/>
      </w:pPr>
      <w:r/>
    </w:p>
    <w:p>
      <w:pPr>
        <w:spacing w:line="360" w:lineRule="auto" w:after="40"/>
      </w:pPr>
      <w:r>
        <w:t>3. A bank is using a network analysis tool to identify links between its customers and criminal entities. The system identifies potential indirect relationships but is unable to prioritize them. What should the compliance officer do to enhance the tool's effectiveness? ( )</w:t>
      </w:r>
    </w:p>
    <w:p>
      <w:pPr>
        <w:spacing w:line="360" w:lineRule="auto" w:after="20"/>
        <w:ind w:firstLine="283"/>
      </w:pPr>
      <w:r>
        <w:t>A. Manually review all flagged relationships for accuracy</w:t>
      </w:r>
    </w:p>
    <w:p>
      <w:pPr>
        <w:spacing w:line="360" w:lineRule="auto" w:after="20"/>
        <w:ind w:firstLine="283"/>
      </w:pPr>
      <w:r>
        <w:t>B. Implement risk-scoring algorithms for indirect connections</w:t>
      </w:r>
    </w:p>
    <w:p>
      <w:pPr>
        <w:spacing w:line="360" w:lineRule="auto" w:after="20"/>
        <w:ind w:firstLine="283"/>
      </w:pPr>
      <w:r>
        <w:t>C. Integrate external databases and social media profiles to cross-check flagged entities</w:t>
      </w:r>
    </w:p>
    <w:p>
      <w:pPr>
        <w:spacing w:line="360" w:lineRule="auto" w:after="20"/>
        <w:ind w:firstLine="283"/>
      </w:pPr>
      <w:r>
        <w:t>D. Focus on direct connections between customers and criminal entities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用风险评分算法解决网络分析中间接关系的优先级排序问题</w:t>
      </w:r>
    </w:p>
    <w:p>
      <w:pPr>
        <w:spacing w:before="120" w:after="40"/>
      </w:pPr>
      <w:r>
        <w:rPr>
          <w:b/>
          <w:sz w:val="21"/>
          <w:shd w:fill="D6E4F0" w:val="clear"/>
        </w:rPr>
        <w:t>核心解析</w:t>
      </w:r>
    </w:p>
    <w:p>
      <w:pPr>
        <w:spacing w:line="360" w:lineRule="auto" w:after="40"/>
        <w:ind w:firstLine="420"/>
      </w:pPr>
      <w:r>
        <w:t>风险评级模型通过为交易行为、客户属性和高风险司法管辖区敞口分配风险评分，增强监控场景有效性</w:t>
      </w:r>
      <w:r>
        <w:rPr>
          <w:sz w:val="15"/>
          <w:vertAlign w:val="superscript"/>
        </w:rPr>
        <w:t>P444</w:t>
      </w:r>
      <w:r>
        <w:t>。严重性因素可用于对警报进行优先级排序以便调查</w:t>
      </w:r>
      <w:r>
        <w:rPr>
          <w:sz w:val="15"/>
          <w:vertAlign w:val="superscript"/>
        </w:rPr>
        <w:t>P444</w:t>
      </w:r>
      <w:r>
        <w:t>。题干中系统已能识别潜在间接关系，但无法排序，因此实施风险评分算法（即对间接关系赋予风险分值）直接弥补了“不能排序”的缺口，使合规官能先处理风险更高的关系，从而提升工具整体有效性。</w:t>
      </w:r>
    </w:p>
    <w:p>
      <w:pPr>
        <w:spacing w:before="120" w:after="40"/>
      </w:pPr>
      <w:r>
        <w:rPr>
          <w:b/>
          <w:sz w:val="21"/>
          <w:shd w:fill="D6E4F0" w:val="clear"/>
        </w:rPr>
        <w:t>教材原句</w:t>
      </w:r>
    </w:p>
    <w:p>
      <w:pPr>
        <w:spacing w:line="360" w:lineRule="auto" w:after="40"/>
        <w:ind w:firstLine="420"/>
      </w:pPr>
      <w:r>
        <w:t>"Risk-rating models enhance scenario effectiveness by assigning risk scores based on transaction behaviors, customer attributes, and exposure to highrisk jurisdictions."</w:t>
      </w:r>
    </w:p>
    <w:p>
      <w:pPr>
        <w:spacing w:before="120" w:after="40"/>
      </w:pPr>
      <w:r>
        <w:rPr>
          <w:b/>
          <w:sz w:val="21"/>
          <w:shd w:fill="D6E4F0" w:val="clear"/>
        </w:rPr>
        <w:t>A项错误</w:t>
      </w:r>
    </w:p>
    <w:p>
      <w:pPr>
        <w:spacing w:line="360" w:lineRule="auto" w:after="40"/>
        <w:ind w:firstLine="420"/>
      </w:pPr>
      <w:r>
        <w:t>手动审查全部被标记关系虽然能逐一核实，但题干的关键问题是系统缺乏排序能力，而非无法发现关系。教材指出网络分析工具可自动发现隐藏关联，无需人工干预</w:t>
      </w:r>
      <w:r>
        <w:rPr>
          <w:sz w:val="15"/>
          <w:vertAlign w:val="superscript"/>
        </w:rPr>
        <w:t>P330</w:t>
      </w:r>
      <w:r>
        <w:t>，全线手动审查不解决排序问题，反而增加了已可自动化的步骤。</w:t>
      </w:r>
    </w:p>
    <w:p>
      <w:pPr>
        <w:spacing w:before="120" w:after="40"/>
      </w:pPr>
      <w:r>
        <w:rPr>
          <w:b/>
          <w:sz w:val="21"/>
          <w:shd w:fill="D6E4F0" w:val="clear"/>
        </w:rPr>
        <w:t>C项错误</w:t>
      </w:r>
    </w:p>
    <w:p>
      <w:pPr>
        <w:spacing w:line="360" w:lineRule="auto" w:after="40"/>
        <w:ind w:firstLine="420"/>
      </w:pPr>
      <w:r>
        <w:t>整合外部数据库和社交媒体资料属于实体解析的外部数据扩充</w:t>
      </w:r>
      <w:r>
        <w:rPr>
          <w:sz w:val="15"/>
          <w:vertAlign w:val="superscript"/>
        </w:rPr>
        <w:t>P484</w:t>
      </w:r>
      <w:r>
        <w:t>，其作用是丰富客户画像、核实身份，而非赋予关系以优先级。题干未提示数据不足，排序需求更直接指向风险评分算法，而非扩充数据源。</w:t>
      </w:r>
    </w:p>
    <w:p>
      <w:pPr>
        <w:spacing w:before="120" w:after="40"/>
      </w:pPr>
      <w:r>
        <w:rPr>
          <w:b/>
          <w:sz w:val="21"/>
          <w:shd w:fill="D6E4F0" w:val="clear"/>
        </w:rPr>
        <w:t>D项错误</w:t>
      </w:r>
    </w:p>
    <w:p>
      <w:pPr>
        <w:spacing w:line="360" w:lineRule="auto" w:after="40"/>
        <w:ind w:firstLine="420"/>
      </w:pPr>
      <w:r>
        <w:t>关注直接联系等于放弃间接关系分析，而题干已说明系统能够识别间接关系，且网络分析的核心价值正在于揭示这些隐藏关联</w:t>
      </w:r>
      <w:r>
        <w:rPr>
          <w:sz w:val="15"/>
          <w:vertAlign w:val="superscript"/>
        </w:rPr>
        <w:t>P438</w:t>
      </w:r>
      <w:r>
        <w:t>。只盯着直接联系无法解决排序问题，反而让已识别的间接信息闲置，与提升工具效力的目标背道而驰。</w:t>
      </w:r>
    </w:p>
    <w:p>
      <w:pPr>
        <w:spacing w:before="120" w:after="40"/>
      </w:pPr>
      <w:r>
        <w:rPr>
          <w:b/>
          <w:sz w:val="21"/>
          <w:shd w:fill="D6E4F0" w:val="clear"/>
        </w:rPr>
        <w:t>易错提醒</w:t>
      </w:r>
    </w:p>
    <w:p>
      <w:pPr>
        <w:spacing w:line="360" w:lineRule="auto" w:after="40"/>
        <w:ind w:firstLine="420"/>
      </w:pPr>
      <w:r>
        <w:t>易混淆选项C：整合外部数据看似能提供更多信息以便排序，但外部数据整合主要解决实体识别与信息补齐</w:t>
      </w:r>
      <w:r>
        <w:rPr>
          <w:sz w:val="15"/>
          <w:vertAlign w:val="superscript"/>
        </w:rPr>
        <w:t>P484</w:t>
      </w:r>
      <w:r>
        <w:t>，而排序需要明确的风险评分框架</w:t>
      </w:r>
      <w:r>
        <w:rPr>
          <w:sz w:val="15"/>
          <w:vertAlign w:val="superscript"/>
        </w:rPr>
        <w:t>P444</w:t>
      </w:r>
      <w:r>
        <w:t>。题干的核心痛点是“已识别但无优先级”，正确答案应聚焦于为已识别的间接关系赋予风险分值，而非继续扩大数据来源。</w:t>
      </w:r>
    </w:p>
    <w:p>
      <w:pPr>
        <w:spacing w:line="360" w:lineRule="auto" w:after="120"/>
      </w:pPr>
      <w:r/>
    </w:p>
    <w:p>
      <w:pPr>
        <w:spacing w:line="360" w:lineRule="auto" w:after="40"/>
      </w:pPr>
      <w:r>
        <w:t>4. A customer of a financial institution (FI) complained that they had received multiple emails appearing to originate from the FI, urging them to click a link or open a remittance attachment for confirmation. After opening the attachment, the customer later realized that funds had been systematically transferred out of their bank account without their knowledge. Which type of cybercrime is described in this scenario? ( )</w:t>
      </w:r>
    </w:p>
    <w:p>
      <w:pPr>
        <w:spacing w:line="360" w:lineRule="auto" w:after="20"/>
        <w:ind w:firstLine="283"/>
      </w:pPr>
      <w:r>
        <w:t>A. Vishing</w:t>
      </w:r>
    </w:p>
    <w:p>
      <w:pPr>
        <w:spacing w:line="360" w:lineRule="auto" w:after="20"/>
        <w:ind w:firstLine="283"/>
      </w:pPr>
      <w:r>
        <w:t>B. Pharming</w:t>
      </w:r>
    </w:p>
    <w:p>
      <w:pPr>
        <w:spacing w:line="360" w:lineRule="auto" w:after="20"/>
        <w:ind w:firstLine="283"/>
      </w:pPr>
      <w:r>
        <w:t>C. SMiShing</w:t>
      </w:r>
    </w:p>
    <w:p>
      <w:pPr>
        <w:spacing w:line="360" w:lineRule="auto" w:after="20"/>
        <w:ind w:firstLine="283"/>
      </w:pPr>
      <w:r>
        <w:t>D. Spear phishing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本题需依据教材规则/定义判断各选项与题干条件的对应关系。</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语音钓鱼（vishing）”与题干给出的“一位金融机构(FI)的客户投诉称,他们收到了多封看似来自该金融机构的电子邮件,催促他们点击链接或打开汇款附件进行确认.客户打开附件后,后来才发现自己银行账户中的资金在他们不知情的情况下被有计划地转走了.此情景中描述的是哪种类型的网络犯罪？”不一致。</w:t>
      </w:r>
    </w:p>
    <w:p>
      <w:pPr>
        <w:spacing w:before="120" w:after="40"/>
      </w:pPr>
      <w:r>
        <w:rPr>
          <w:b/>
          <w:sz w:val="21"/>
          <w:shd w:fill="D6E4F0" w:val="clear"/>
        </w:rPr>
        <w:t>B项错误</w:t>
      </w:r>
    </w:p>
    <w:p>
      <w:pPr>
        <w:spacing w:line="360" w:lineRule="auto" w:after="40"/>
        <w:ind w:firstLine="420"/>
      </w:pPr>
      <w:r>
        <w:t>“域名欺骗（pharming）”与题干给出的“一位金融机构(FI)的客户投诉称,他们收到了多封看似来自该金融机构的电子邮件,催促他们点击链接或打开汇款附件进行确认.客户打开附件后,后来才发现自己银行账户中的资金在他们不知情的情况下被有计划地转走了.此情景中描述的是哪种类型的网络犯罪？”不一致。</w:t>
      </w:r>
    </w:p>
    <w:p>
      <w:pPr>
        <w:spacing w:before="120" w:after="40"/>
      </w:pPr>
      <w:r>
        <w:rPr>
          <w:b/>
          <w:sz w:val="21"/>
          <w:shd w:fill="D6E4F0" w:val="clear"/>
        </w:rPr>
        <w:t>C项错误</w:t>
      </w:r>
    </w:p>
    <w:p>
      <w:pPr>
        <w:spacing w:line="360" w:lineRule="auto" w:after="40"/>
        <w:ind w:firstLine="420"/>
      </w:pPr>
      <w:r>
        <w:t>“短信钓鱼（SMiShing）”与题干给出的“一位金融机构(FI)的客户投诉称,他们收到了多封看似来自该金融机构的电子邮件,催促他们点击链接或打开汇款附件进行确认.客户打开附件后,后来才发现自己银行账户中的资金在他们不知情的情况下被有计划地转走了.此情景中描述的是哪种类型的网络犯罪？”不一致。</w:t>
      </w:r>
    </w:p>
    <w:p>
      <w:pPr>
        <w:spacing w:line="360" w:lineRule="auto" w:after="120"/>
      </w:pPr>
      <w:r/>
    </w:p>
    <w:p>
      <w:pPr>
        <w:spacing w:line="360" w:lineRule="auto" w:after="40"/>
      </w:pPr>
      <w:r>
        <w:t>5. It is important to validate the conceptual soundness of an AML model in order to: ( )</w:t>
      </w:r>
    </w:p>
    <w:p>
      <w:pPr>
        <w:spacing w:line="360" w:lineRule="auto" w:after="20"/>
        <w:ind w:firstLine="283"/>
      </w:pPr>
      <w:r>
        <w:t>A. Verify alignment with regulatory guidance and industry best practices</w:t>
      </w:r>
    </w:p>
    <w:p>
      <w:pPr>
        <w:spacing w:line="360" w:lineRule="auto" w:after="20"/>
        <w:ind w:firstLine="283"/>
      </w:pPr>
      <w:r>
        <w:t>B. Assess whether the model's methodology and assumptions are logical and appropriate for detecting money laundering</w:t>
      </w:r>
    </w:p>
    <w:p>
      <w:pPr>
        <w:spacing w:line="360" w:lineRule="auto" w:after="20"/>
        <w:ind w:firstLine="283"/>
      </w:pPr>
      <w:r>
        <w:t>C. Validate the statistical significance of the model's predictive capabilities</w:t>
      </w:r>
    </w:p>
    <w:p>
      <w:pPr>
        <w:spacing w:line="360" w:lineRule="auto" w:after="20"/>
        <w:ind w:firstLine="283"/>
      </w:pPr>
      <w:r>
        <w:t>D. Demonstrate compatibility with current technological infrastructure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区分模型“概念合理性”验证与合规、统计、技术维度的不同侧重点</w:t>
      </w:r>
    </w:p>
    <w:p>
      <w:pPr>
        <w:spacing w:before="120" w:after="40"/>
      </w:pPr>
      <w:r>
        <w:rPr>
          <w:b/>
          <w:sz w:val="21"/>
          <w:shd w:fill="D6E4F0" w:val="clear"/>
        </w:rPr>
        <w:t>核心解析</w:t>
      </w:r>
    </w:p>
    <w:p>
      <w:pPr>
        <w:spacing w:line="360" w:lineRule="auto" w:after="40"/>
        <w:ind w:firstLine="420"/>
      </w:pPr>
      <w:r>
        <w:t>验证反洗钱模型的概念合理性，就是要检查模型所基于的方法论和假设是否逻辑严谨，并真正适合用于检测洗钱活动。教材在介绍交易监控情景校准治理时指出，机构通过建立治理委员会来“确保选择正确的场景和应用适当的方法论”</w:t>
      </w:r>
      <w:r>
        <w:rPr>
          <w:sz w:val="15"/>
          <w:vertAlign w:val="superscript"/>
        </w:rPr>
        <w:t>P449</w:t>
      </w:r>
      <w:r>
        <w:t>。这一职责正是概念合理性验证的核心——在模型开发阶段审视其内在逻辑和设计前提，而非后续的性能调优或系统集成。题干问的是验证概念合理性的目的，直接对应的就是评估方法论和假设的合理性及适用性，因此选项B正确。</w:t>
      </w:r>
    </w:p>
    <w:p>
      <w:pPr>
        <w:spacing w:before="120" w:after="40"/>
      </w:pPr>
      <w:r>
        <w:rPr>
          <w:b/>
          <w:sz w:val="21"/>
          <w:shd w:fill="D6E4F0" w:val="clear"/>
        </w:rPr>
        <w:t>教材原句</w:t>
      </w:r>
    </w:p>
    <w:p>
      <w:pPr>
        <w:spacing w:line="360" w:lineRule="auto" w:after="40"/>
        <w:ind w:firstLine="420"/>
      </w:pPr>
      <w:r>
        <w:t>"To ensure they select the right scenarios and apply appropriate methodologies, institutions establish governance committees, such as for model risk governance."</w:t>
      </w:r>
    </w:p>
    <w:p>
      <w:pPr>
        <w:spacing w:before="120" w:after="40"/>
      </w:pPr>
      <w:r>
        <w:rPr>
          <w:b/>
          <w:sz w:val="21"/>
          <w:shd w:fill="D6E4F0" w:val="clear"/>
        </w:rPr>
        <w:t>A项错误</w:t>
      </w:r>
    </w:p>
    <w:p>
      <w:pPr>
        <w:spacing w:line="360" w:lineRule="auto" w:after="40"/>
        <w:ind w:firstLine="420"/>
      </w:pPr>
      <w:r>
        <w:t>教材提到行业最佳实践建议每半年或每年进行结构化审查以保持有效性和监管一致性</w:t>
      </w:r>
      <w:r>
        <w:rPr>
          <w:sz w:val="15"/>
          <w:vertAlign w:val="superscript"/>
        </w:rPr>
        <w:t>P447</w:t>
      </w:r>
      <w:r>
        <w:t>，这类审查更偏向模型运行过程中的合规性和有效性调优，而非模型设计阶段的概念合理性验证。题干更支持对模型方法论和假设本身的逻辑评估，而不是外部监管对齐的核实。</w:t>
      </w:r>
    </w:p>
    <w:p>
      <w:pPr>
        <w:spacing w:before="120" w:after="40"/>
      </w:pPr>
      <w:r>
        <w:rPr>
          <w:b/>
          <w:sz w:val="21"/>
          <w:shd w:fill="D6E4F0" w:val="clear"/>
        </w:rPr>
        <w:t>C项错误</w:t>
      </w:r>
    </w:p>
    <w:p>
      <w:pPr>
        <w:spacing w:line="360" w:lineRule="auto" w:after="40"/>
        <w:ind w:firstLine="420"/>
      </w:pPr>
      <w:r>
        <w:t>验证模型的统计显著性侧重于用数据检验预测能力，属于模型性能测试的范畴。而概念合理性关注的是模型底层逻辑和假设的适当性，在教材框架下的匹配度不如选项B直接。题干未提及统计指标或量化测试的要求。</w:t>
      </w:r>
    </w:p>
    <w:p>
      <w:pPr>
        <w:spacing w:before="120" w:after="40"/>
      </w:pPr>
      <w:r>
        <w:rPr>
          <w:b/>
          <w:sz w:val="21"/>
          <w:shd w:fill="D6E4F0" w:val="clear"/>
        </w:rPr>
        <w:t>D项错误</w:t>
      </w:r>
    </w:p>
    <w:p>
      <w:pPr>
        <w:spacing w:line="360" w:lineRule="auto" w:after="40"/>
        <w:ind w:firstLine="420"/>
      </w:pPr>
      <w:r>
        <w:t>技术基础设施的兼容性是系统实施阶段的考量，教材虽提及集成现有系统</w:t>
      </w:r>
      <w:r>
        <w:rPr>
          <w:sz w:val="15"/>
          <w:vertAlign w:val="superscript"/>
        </w:rPr>
        <w:t>P378</w:t>
      </w:r>
      <w:r>
        <w:t>，但这与模型方法论和假设是否合乎逻辑没有直接关系。题干没有引入任何关于技术环境或兼容性的要素，因此匹配度明显弱于B。</w:t>
      </w:r>
    </w:p>
    <w:p>
      <w:pPr>
        <w:spacing w:before="120" w:after="40"/>
      </w:pPr>
      <w:r>
        <w:rPr>
          <w:b/>
          <w:sz w:val="21"/>
          <w:shd w:fill="D6E4F0" w:val="clear"/>
        </w:rPr>
        <w:t>易错提醒</w:t>
      </w:r>
    </w:p>
    <w:p>
      <w:pPr>
        <w:spacing w:line="360" w:lineRule="auto" w:after="40"/>
        <w:ind w:firstLine="420"/>
      </w:pPr>
      <w:r>
        <w:t>模型的概念合理性验证关注方法论和假设的逻辑适当性，属于开发阶段的设计确认；而行业最佳实践建议的定期结构化审查</w:t>
      </w:r>
      <w:r>
        <w:rPr>
          <w:sz w:val="15"/>
          <w:vertAlign w:val="superscript"/>
        </w:rPr>
        <w:t>P447</w:t>
      </w:r>
      <w:r>
        <w:t>是后期的校准和监控活动，旨在保持有效性和监管一致性。两者分属模型生命周期的不同节点，前者侧重逻辑起点，后者侧重持续运行。</w:t>
      </w:r>
    </w:p>
    <w:p>
      <w:pPr>
        <w:spacing w:line="360" w:lineRule="auto" w:after="120"/>
      </w:pPr>
      <w:r/>
    </w:p>
    <w:p>
      <w:pPr>
        <w:spacing w:line="360" w:lineRule="auto" w:after="40"/>
      </w:pPr>
      <w:r>
        <w:t>6. Which transaction monitoring tool characteristic would best support financial institutions in rapidly responding to emerging financial crime risks and threats? ( )</w:t>
      </w:r>
    </w:p>
    <w:p>
      <w:pPr>
        <w:spacing w:line="360" w:lineRule="auto" w:after="20"/>
        <w:ind w:firstLine="283"/>
      </w:pPr>
      <w:r>
        <w:t>A. Cloud-based deployment</w:t>
      </w:r>
    </w:p>
    <w:p>
      <w:pPr>
        <w:spacing w:line="360" w:lineRule="auto" w:after="20"/>
        <w:ind w:firstLine="283"/>
      </w:pPr>
      <w:r>
        <w:t>B. Configurable reporting</w:t>
      </w:r>
    </w:p>
    <w:p>
      <w:pPr>
        <w:spacing w:line="360" w:lineRule="auto" w:after="20"/>
        <w:ind w:firstLine="283"/>
      </w:pPr>
      <w:r>
        <w:t>C. Fully integrated artificial intelligence (AI)</w:t>
      </w:r>
    </w:p>
    <w:p>
      <w:pPr>
        <w:spacing w:line="360" w:lineRule="auto" w:after="20"/>
        <w:ind w:firstLine="283"/>
      </w:pPr>
      <w:r>
        <w:t>D. Ability to build, iterate, and test rules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交易监控规则的持续测试和调优能力是快速应对新兴风险的关键</w:t>
      </w:r>
    </w:p>
    <w:p>
      <w:pPr>
        <w:spacing w:before="120" w:after="40"/>
      </w:pPr>
      <w:r>
        <w:rPr>
          <w:b/>
          <w:sz w:val="21"/>
          <w:shd w:fill="D6E4F0" w:val="clear"/>
        </w:rPr>
        <w:t>核心解析</w:t>
      </w:r>
    </w:p>
    <w:p>
      <w:pPr>
        <w:spacing w:line="360" w:lineRule="auto" w:after="40"/>
        <w:ind w:firstLine="420"/>
      </w:pPr>
      <w:r>
        <w:t>金融机构部署交易监控场景后，应持续测试和调优以确保有效性，这一过程由监管变化、新兴金融犯罪趋势或客户交易行为变化等特殊情形触发</w:t>
      </w:r>
      <w:r>
        <w:rPr>
          <w:sz w:val="15"/>
          <w:vertAlign w:val="superscript"/>
        </w:rPr>
        <w:t>P446</w:t>
      </w:r>
      <w:r>
        <w:t>。基于规则的交易监控系统通常更易于测试和调优</w:t>
      </w:r>
      <w:r>
        <w:rPr>
          <w:sz w:val="15"/>
          <w:vertAlign w:val="superscript"/>
        </w:rPr>
        <w:t>P446</w:t>
      </w:r>
      <w:r>
        <w:t>。题干要求“迅速应对新兴的金融犯罪风险和威胁”，而“构建、迭代和测试规则的能力”直接对应教材对规则系统的持续测试和调优要求，使机构能在发现新风险时快速调整监控逻辑，缩短响应时间，因此该特性最能支持迅速应对。</w:t>
      </w:r>
    </w:p>
    <w:p>
      <w:pPr>
        <w:spacing w:before="120" w:after="40"/>
      </w:pPr>
      <w:r>
        <w:rPr>
          <w:b/>
          <w:sz w:val="21"/>
          <w:shd w:fill="D6E4F0" w:val="clear"/>
        </w:rPr>
        <w:t>教材原句</w:t>
      </w:r>
    </w:p>
    <w:p>
      <w:pPr>
        <w:spacing w:line="360" w:lineRule="auto" w:after="40"/>
        <w:ind w:firstLine="420"/>
      </w:pPr>
      <w:r>
        <w:t>"Once financial institutions develop, calibrate, and deploy transaction monitoring scenarios, they should continuously test and tune them to ensure effectiveness."</w:t>
      </w:r>
    </w:p>
    <w:p>
      <w:pPr>
        <w:spacing w:before="120" w:after="40"/>
      </w:pPr>
      <w:r>
        <w:rPr>
          <w:b/>
          <w:sz w:val="21"/>
          <w:shd w:fill="D6E4F0" w:val="clear"/>
        </w:rPr>
        <w:t>A项错误</w:t>
      </w:r>
    </w:p>
    <w:p>
      <w:pPr>
        <w:spacing w:line="360" w:lineRule="auto" w:after="40"/>
        <w:ind w:firstLine="420"/>
      </w:pPr>
      <w:r>
        <w:t>云部署在教材中被描述为“提供更多集成可能”</w:t>
      </w:r>
      <w:r>
        <w:rPr>
          <w:sz w:val="15"/>
          <w:vertAlign w:val="superscript"/>
        </w:rPr>
        <w:t>P426</w:t>
      </w:r>
      <w:r>
        <w:t>，更侧重于系统集成和部署模式，而非直接支持监控逻辑的快速调整。题干强调“迅速应对”新风险，而构建和迭代规则的能力比云部署更直接地服务于这一目标。</w:t>
      </w:r>
    </w:p>
    <w:p>
      <w:pPr>
        <w:spacing w:before="120" w:after="40"/>
      </w:pPr>
      <w:r>
        <w:rPr>
          <w:b/>
          <w:sz w:val="21"/>
          <w:shd w:fill="D6E4F0" w:val="clear"/>
        </w:rPr>
        <w:t>B项错误</w:t>
      </w:r>
    </w:p>
    <w:p>
      <w:pPr>
        <w:spacing w:line="360" w:lineRule="auto" w:after="40"/>
        <w:ind w:firstLine="420"/>
      </w:pPr>
      <w:r>
        <w:t>教材中可配置报告的功能主要关联治理评估与信息呈现</w:t>
      </w:r>
      <w:r>
        <w:rPr>
          <w:sz w:val="15"/>
          <w:vertAlign w:val="superscript"/>
        </w:rPr>
        <w:t>P387</w:t>
      </w:r>
      <w:r>
        <w:t>，未显示其能够直接调整对新兴犯罪模式的检测能力。而D项直接对应规则系统的持续调优，更贴合“迅速应对”新兴威胁的题干需求。</w:t>
      </w:r>
    </w:p>
    <w:p>
      <w:pPr>
        <w:spacing w:before="120" w:after="40"/>
      </w:pPr>
      <w:r>
        <w:rPr>
          <w:b/>
          <w:sz w:val="21"/>
          <w:shd w:fill="D6E4F0" w:val="clear"/>
        </w:rPr>
        <w:t>C项错误</w:t>
      </w:r>
    </w:p>
    <w:p>
      <w:pPr>
        <w:spacing w:line="360" w:lineRule="auto" w:after="40"/>
        <w:ind w:firstLine="420"/>
      </w:pPr>
      <w:r>
        <w:t>AI能检测复杂犯罪模式，但教材同时指出实施AI需用多样化数据测试、具备可解释性</w:t>
      </w:r>
      <w:r>
        <w:rPr>
          <w:sz w:val="15"/>
          <w:vertAlign w:val="superscript"/>
        </w:rPr>
        <w:t>P331</w:t>
      </w:r>
      <w:r>
        <w:t>，且规则系统更易测试和调优</w:t>
      </w:r>
      <w:r>
        <w:rPr>
          <w:sz w:val="15"/>
          <w:vertAlign w:val="superscript"/>
        </w:rPr>
        <w:t>P446</w:t>
      </w:r>
      <w:r>
        <w:t>。在“迅速应对”新兴威胁的语境下，直接构建和迭代规则的灵活性优于AI所需的模型训练和验证周期，因此D项比AI更匹配题干。</w:t>
      </w:r>
    </w:p>
    <w:p>
      <w:pPr>
        <w:spacing w:before="120" w:after="40"/>
      </w:pPr>
      <w:r>
        <w:rPr>
          <w:b/>
          <w:sz w:val="21"/>
          <w:shd w:fill="D6E4F0" w:val="clear"/>
        </w:rPr>
        <w:t>易错提醒</w:t>
      </w:r>
    </w:p>
    <w:p>
      <w:pPr>
        <w:spacing w:line="360" w:lineRule="auto" w:after="40"/>
        <w:ind w:firstLine="420"/>
      </w:pPr>
      <w:r>
        <w:t>AI虽能适应复杂模式，但教材强调基于规则的系统更易测试和调优</w:t>
      </w:r>
      <w:r>
        <w:rPr>
          <w:sz w:val="15"/>
          <w:vertAlign w:val="superscript"/>
        </w:rPr>
        <w:t>P446</w:t>
      </w:r>
      <w:r>
        <w:t>，而AI模型需要多样化数据测试、可解释性验证</w:t>
      </w:r>
      <w:r>
        <w:rPr>
          <w:sz w:val="15"/>
          <w:vertAlign w:val="superscript"/>
        </w:rPr>
        <w:t>P331</w:t>
      </w:r>
      <w:r>
        <w:t>，调整响应速度往往不如直接修改规则阈值那样迅捷。面对新兴风险，快速迭代规则比等待AI重新训练更直接。</w:t>
      </w:r>
    </w:p>
    <w:p>
      <w:pPr>
        <w:spacing w:line="360" w:lineRule="auto" w:after="120"/>
      </w:pPr>
      <w:r/>
    </w:p>
    <w:p>
      <w:pPr>
        <w:spacing w:line="360" w:lineRule="auto" w:after="40"/>
      </w:pPr>
      <w:r>
        <w:t>7. In a large U.S. bank, an individual leads a team in charge of overseeing the governance and effectiveness of the bank's transaction monitoring approach. Which strategies should the team implement? (Select Two.) ( )</w:t>
      </w:r>
    </w:p>
    <w:p>
      <w:pPr>
        <w:spacing w:line="360" w:lineRule="auto" w:after="20"/>
        <w:ind w:firstLine="283"/>
      </w:pPr>
      <w:r>
        <w:t>A. Periodic and ad hoc cooperation with the legal team to appropriately investigate and monitor the transactions of subjects of subpoenas or government inquiries.</w:t>
      </w:r>
    </w:p>
    <w:p>
      <w:pPr>
        <w:spacing w:line="360" w:lineRule="auto" w:after="20"/>
        <w:ind w:firstLine="283"/>
      </w:pPr>
      <w:r>
        <w:t>B. Periodic review of client profiles to ensure that the most up-to-date information is on file for high-risk clients in line with the bank's internal policies and procedures.</w:t>
      </w:r>
    </w:p>
    <w:p>
      <w:pPr>
        <w:spacing w:line="360" w:lineRule="auto" w:after="20"/>
        <w:ind w:firstLine="283"/>
      </w:pPr>
      <w:r>
        <w:t>C. Periodic review of suspicious activity reports (SARs) filed with FinCEN to determine whether any should be withdrawn.</w:t>
      </w:r>
    </w:p>
    <w:p>
      <w:pPr>
        <w:spacing w:line="360" w:lineRule="auto" w:after="20"/>
        <w:ind w:firstLine="283"/>
      </w:pPr>
      <w:r>
        <w:t>D. Periodic review of transaction monitoring scenarios and their productivity to ensure that appropriate AML typologies are reflected.</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交易监控团队的持续维护职责：客户档案审查与场景有效性测试</w:t>
      </w:r>
    </w:p>
    <w:p>
      <w:pPr>
        <w:spacing w:before="120" w:after="40"/>
      </w:pPr>
      <w:r>
        <w:rPr>
          <w:b/>
          <w:sz w:val="21"/>
          <w:shd w:fill="D6E4F0" w:val="clear"/>
        </w:rPr>
        <w:t>核心解析</w:t>
      </w:r>
    </w:p>
    <w:p>
      <w:pPr>
        <w:spacing w:line="360" w:lineRule="auto" w:after="40"/>
        <w:ind w:firstLine="420"/>
      </w:pPr>
      <w:r>
        <w:t>题干问的是：负责监督交易监控方法治理和有效性的团队，应实施哪些策略。这涉及两个核心维度——输入端（客户数据质量）和规则端（监控场景的有效性）。定期KYC审查（periodic KYC review）指根据客户风险等级定期更新客户信息、所有权结构、业务活动和风险分类</w:t>
      </w:r>
      <w:r>
        <w:rPr>
          <w:sz w:val="15"/>
          <w:vertAlign w:val="superscript"/>
        </w:rPr>
        <w:t>P315</w:t>
      </w:r>
      <w:r>
        <w:t>。Magnify Bank案例中，银行将客户风险档案与交易数据整合进交易监控系统以检测异常并触发告警</w:t>
      </w:r>
      <w:r>
        <w:rPr>
          <w:sz w:val="15"/>
          <w:vertAlign w:val="superscript"/>
        </w:rPr>
        <w:t>P478</w:t>
      </w:r>
      <w:r>
        <w:t>。若高风险客户的档案信息陈旧，交易监控将失去可靠的参照基础，由此可直接推断B项是输入端的治理策略。另一方面，金融机构部署交易监控场景后，应持续测试和调优以确保有效性</w:t>
      </w:r>
      <w:r>
        <w:rPr>
          <w:sz w:val="15"/>
          <w:vertAlign w:val="superscript"/>
        </w:rPr>
        <w:t>P446</w:t>
      </w:r>
      <w:r>
        <w:t>，并保持结构化方法使系统保持有效、适应性强且符合监管与运营目标</w:t>
      </w:r>
      <w:r>
        <w:rPr>
          <w:sz w:val="15"/>
          <w:vertAlign w:val="superscript"/>
        </w:rPr>
        <w:t>P447</w:t>
      </w:r>
      <w:r>
        <w:t>。“typologies”即反洗钱的各类模式，定期审查场景及其成效以反映这些模式，正是治理和有效性监督的直接体现。B负责“数据质量”，D负责“规则质量”，二者共同构成交易监控方法的治理闭环。</w:t>
      </w:r>
    </w:p>
    <w:p>
      <w:pPr>
        <w:spacing w:before="120" w:after="40"/>
      </w:pPr>
      <w:r>
        <w:rPr>
          <w:b/>
          <w:sz w:val="21"/>
          <w:shd w:fill="D6E4F0" w:val="clear"/>
        </w:rPr>
        <w:t>教材原句</w:t>
      </w:r>
    </w:p>
    <w:p>
      <w:pPr>
        <w:spacing w:line="360" w:lineRule="auto" w:after="40"/>
        <w:ind w:firstLine="420"/>
      </w:pPr>
      <w:r>
        <w:t>"Once financial institutions develop, calibrate, and deploy transaction monitoring scenarios, they should continuously test and tune them to ensure effectiveness."</w:t>
      </w:r>
    </w:p>
    <w:p>
      <w:pPr>
        <w:spacing w:before="120" w:after="40"/>
      </w:pPr>
      <w:r>
        <w:rPr>
          <w:b/>
          <w:sz w:val="21"/>
          <w:shd w:fill="D6E4F0" w:val="clear"/>
        </w:rPr>
        <w:t>A项错误</w:t>
      </w:r>
    </w:p>
    <w:p>
      <w:pPr>
        <w:spacing w:line="360" w:lineRule="auto" w:after="40"/>
        <w:ind w:firstLine="420"/>
      </w:pPr>
      <w:r>
        <w:t>题干团队的职责是“治理与有效性”，而非具体案件的调查执行。法律部门协助解释法规、处理合规问题及管理潜在法律责任</w:t>
      </w:r>
      <w:r>
        <w:rPr>
          <w:sz w:val="15"/>
          <w:vertAlign w:val="superscript"/>
        </w:rPr>
        <w:t>P262</w:t>
      </w:r>
      <w:r>
        <w:t>，其角色是向团队提供支持，而非团队自身应实施的策略。在教材框架下，与法律团队合作更接近第三方的按需配合，不如B和D那样直接属于交易监控治理团队的固有职责范围。</w:t>
      </w:r>
    </w:p>
    <w:p>
      <w:pPr>
        <w:spacing w:before="120" w:after="40"/>
      </w:pPr>
      <w:r>
        <w:rPr>
          <w:b/>
          <w:sz w:val="21"/>
          <w:shd w:fill="D6E4F0" w:val="clear"/>
        </w:rPr>
        <w:t>C项错误</w:t>
      </w:r>
    </w:p>
    <w:p>
      <w:pPr>
        <w:spacing w:line="360" w:lineRule="auto" w:after="40"/>
        <w:ind w:firstLine="420"/>
      </w:pPr>
      <w:r>
        <w:t>教材讨论SAR时主要关注提交前的审查流程</w:t>
      </w:r>
      <w:r>
        <w:rPr>
          <w:sz w:val="15"/>
          <w:vertAlign w:val="superscript"/>
        </w:rPr>
        <w:t>P346</w:t>
      </w:r>
      <w:r>
        <w:t>和提交后的账户监控</w:t>
      </w:r>
      <w:r>
        <w:rPr>
          <w:sz w:val="15"/>
          <w:vertAlign w:val="superscript"/>
        </w:rPr>
        <w:t>P357</w:t>
      </w:r>
      <w:r>
        <w:t>，以“是否应撤回”为目标的定期审查并非教材框架中交易监控治理的核心工作。更何况，FinCEN对SAR有明确的30个日历日提交截止要求</w:t>
      </w:r>
      <w:r>
        <w:rPr>
          <w:sz w:val="15"/>
          <w:vertAlign w:val="superscript"/>
        </w:rPr>
        <w:t>P346</w:t>
      </w:r>
      <w:r>
        <w:t>，撤回并非教材着墨的方向。在本题条件下，定期审查场景成效（D）比审查SAR是否应撤回更能体现“交易监控方法的治理与有效性”这一题干定位。</w:t>
      </w:r>
    </w:p>
    <w:p>
      <w:pPr>
        <w:spacing w:line="360" w:lineRule="auto" w:after="120"/>
      </w:pPr>
      <w:r/>
    </w:p>
    <w:p>
      <w:pPr>
        <w:spacing w:line="360" w:lineRule="auto" w:after="40"/>
      </w:pPr>
      <w:r>
        <w:t>8. A team overseeing the governance and effectiveness of a bank's transaction monitoring approach should implement which strategies? (Select Two.) ( )</w:t>
      </w:r>
    </w:p>
    <w:p>
      <w:pPr>
        <w:spacing w:line="360" w:lineRule="auto" w:after="20"/>
        <w:ind w:firstLine="283"/>
      </w:pPr>
      <w:r>
        <w:t>A. Periodic review of suspicious activity reports (SARs) filed with FinCEN to determine whether any should be withdrawn</w:t>
      </w:r>
    </w:p>
    <w:p>
      <w:pPr>
        <w:spacing w:line="360" w:lineRule="auto" w:after="20"/>
        <w:ind w:firstLine="283"/>
      </w:pPr>
      <w:r>
        <w:t>B. Periodic and ad hoc cooperation with the legal team to appropriately investigate and monitor the transactions of subjects of subpoenas or government inquiries</w:t>
      </w:r>
    </w:p>
    <w:p>
      <w:pPr>
        <w:spacing w:line="360" w:lineRule="auto" w:after="20"/>
        <w:ind w:firstLine="283"/>
      </w:pPr>
      <w:r>
        <w:t>C. Periodic review of client profiles to ensure that the most up-to-date information is on file for high-risk clients in line with the bank's internal policies and procedures</w:t>
      </w:r>
    </w:p>
    <w:p>
      <w:pPr>
        <w:spacing w:line="360" w:lineRule="auto" w:after="20"/>
        <w:ind w:firstLine="283"/>
      </w:pPr>
      <w:r>
        <w:t>D. Periodic review of transaction monitoring scenarios and their effectiveness to ensure that appropriate AML typologies are reflected</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治理委员会需定期审查监控场景有效性和高风险客户档案更新</w:t>
      </w:r>
    </w:p>
    <w:p>
      <w:pPr>
        <w:spacing w:before="120" w:after="40"/>
      </w:pPr>
      <w:r>
        <w:rPr>
          <w:b/>
          <w:sz w:val="21"/>
          <w:shd w:fill="D6E4F0" w:val="clear"/>
        </w:rPr>
        <w:t>核心解析</w:t>
      </w:r>
    </w:p>
    <w:p>
      <w:pPr>
        <w:spacing w:line="360" w:lineRule="auto" w:after="40"/>
        <w:ind w:firstLine="420"/>
      </w:pPr>
      <w:r>
        <w:t>治理委员会负责确保交易监控规则有效、公平、准确，并定期评估现有场景是否与不断演变的金融犯罪趋势、监管预期和新洗钱手法保持一致，同时审查、批准、验证初始及持续的场景开发、调优以及停用过时或无效场景</w:t>
      </w:r>
      <w:r>
        <w:rPr>
          <w:sz w:val="15"/>
          <w:vertAlign w:val="superscript"/>
        </w:rPr>
        <w:t>P449</w:t>
      </w:r>
      <w:r>
        <w:t>。题干要求“监督银行交易监控方法的治理和有效性的团队”应实施的策略，因此定期审查交易监测场景及其成效（选项D）直接契合治理委员会对监控系统持续评估和更新的职责。另一方面，适当的分群和持续了解你的客户审查确保对不同客户群体进行适当监控</w:t>
      </w:r>
      <w:r>
        <w:rPr>
          <w:sz w:val="15"/>
          <w:vertAlign w:val="superscript"/>
        </w:rPr>
        <w:t>P436</w:t>
      </w:r>
      <w:r>
        <w:t>——高风险客户档案信息需根据风险等级定期更新</w:t>
      </w:r>
      <w:r>
        <w:rPr>
          <w:sz w:val="15"/>
          <w:vertAlign w:val="superscript"/>
        </w:rPr>
        <w:t>P315</w:t>
      </w:r>
      <w:r>
        <w:t>。定期审查高风险客户档案以保证信息最新且符合内部政策（选项C），正是保障交易监控精准性、有效性的基础策略，与治理团队对监控有效性的监督职责吻合。</w:t>
      </w:r>
    </w:p>
    <w:p>
      <w:pPr>
        <w:spacing w:before="120" w:after="40"/>
      </w:pPr>
      <w:r>
        <w:rPr>
          <w:b/>
          <w:sz w:val="21"/>
          <w:shd w:fill="D6E4F0" w:val="clear"/>
        </w:rPr>
        <w:t>A项错误</w:t>
      </w:r>
    </w:p>
    <w:p>
      <w:pPr>
        <w:spacing w:line="360" w:lineRule="auto" w:after="40"/>
        <w:ind w:firstLine="420"/>
      </w:pPr>
      <w:r>
        <w:t>选项A涉及可疑活动报告提交后的撤回审查，属于SAR报告流程中的复核与补充调查环节</w:t>
      </w:r>
      <w:r>
        <w:rPr>
          <w:sz w:val="15"/>
          <w:vertAlign w:val="superscript"/>
        </w:rPr>
        <w:t>P346</w:t>
      </w:r>
      <w:r>
        <w:t>，并非治理团队监督交易监控方法有效性的核心策略。相比之下，治理委员会的职责更直接指向监控场景本身的调优和档案完整性的维持，而非对已提交报告的撤回决策。</w:t>
      </w:r>
    </w:p>
    <w:p>
      <w:pPr>
        <w:spacing w:before="120" w:after="40"/>
      </w:pPr>
      <w:r>
        <w:rPr>
          <w:b/>
          <w:sz w:val="21"/>
          <w:shd w:fill="D6E4F0" w:val="clear"/>
        </w:rPr>
        <w:t>B项错误</w:t>
      </w:r>
    </w:p>
    <w:p>
      <w:pPr>
        <w:spacing w:line="360" w:lineRule="auto" w:after="40"/>
        <w:ind w:firstLine="420"/>
      </w:pPr>
      <w:r>
        <w:t>教材提到法律部门可协助解释法规、处理合规问题</w:t>
      </w:r>
      <w:r>
        <w:rPr>
          <w:sz w:val="15"/>
          <w:vertAlign w:val="superscript"/>
        </w:rPr>
        <w:t>P262</w:t>
      </w:r>
      <w:r>
        <w:t>，但这一职能属于第二道防线法律团队的支持角色，不构成治理团队监督交易监控有效性的专项策略。正确项C和D更直接对应治理委员会对监控系统及客户档案的定期审查，与题干的任务匹配度更高。</w:t>
      </w:r>
    </w:p>
    <w:p>
      <w:pPr>
        <w:spacing w:before="120" w:after="40"/>
      </w:pPr>
      <w:r>
        <w:rPr>
          <w:b/>
          <w:sz w:val="21"/>
          <w:shd w:fill="D6E4F0" w:val="clear"/>
        </w:rPr>
        <w:t>易错提醒</w:t>
      </w:r>
    </w:p>
    <w:p>
      <w:pPr>
        <w:spacing w:line="360" w:lineRule="auto" w:after="40"/>
        <w:ind w:firstLine="420"/>
      </w:pPr>
      <w:r>
        <w:t>治理委员会关注的是交易监控系统的持续有效性（如场景调优、停用过时场景），而非已提交SAR的撤回审查——后者属于报告流程的事后质量复核，不在交易监控方法治理范畴。定期KYC审查则是确保监控精准性的基础，与场景审查共同构成治理团队的关键策略。</w:t>
      </w:r>
    </w:p>
    <w:p>
      <w:pPr>
        <w:spacing w:line="360" w:lineRule="auto" w:after="120"/>
      </w:pPr>
      <w:r/>
    </w:p>
    <w:p>
      <w:pPr>
        <w:spacing w:line="360" w:lineRule="auto" w:after="40"/>
      </w:pPr>
      <w:r>
        <w:t>9. Which of the following are crucial steps for a financial institution when leveraging regulatory reports to improve transaction monitoring? (Select Two.) ( )</w:t>
      </w:r>
    </w:p>
    <w:p>
      <w:pPr>
        <w:spacing w:line="360" w:lineRule="auto" w:after="20"/>
        <w:ind w:firstLine="283"/>
      </w:pPr>
      <w:r>
        <w:t>A. Comparing internal data across all sectors and products referenced in the reports</w:t>
      </w:r>
    </w:p>
    <w:p>
      <w:pPr>
        <w:spacing w:line="360" w:lineRule="auto" w:after="20"/>
        <w:ind w:firstLine="283"/>
      </w:pPr>
      <w:r>
        <w:t>B. Systematically incorporating risks identified in the reports into the internal risk assessment</w:t>
      </w:r>
    </w:p>
    <w:p>
      <w:pPr>
        <w:spacing w:line="360" w:lineRule="auto" w:after="20"/>
        <w:ind w:firstLine="283"/>
      </w:pPr>
      <w:r>
        <w:t>C. Comparing regulatory reports with peer data</w:t>
      </w:r>
    </w:p>
    <w:p>
      <w:pPr>
        <w:spacing w:line="360" w:lineRule="auto" w:after="20"/>
        <w:ind w:firstLine="283"/>
      </w:pPr>
      <w:r>
        <w:t>D. Building or enhancing monitoring scenarios based on reported crime typologies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监管报告如何驱动风险评估与监控场景构建</w:t>
      </w:r>
    </w:p>
    <w:p>
      <w:pPr>
        <w:spacing w:before="120" w:after="40"/>
      </w:pPr>
      <w:r>
        <w:rPr>
          <w:b/>
          <w:sz w:val="21"/>
          <w:shd w:fill="D6E4F0" w:val="clear"/>
        </w:rPr>
        <w:t>核心解析</w:t>
      </w:r>
    </w:p>
    <w:p>
      <w:pPr>
        <w:spacing w:line="360" w:lineRule="auto" w:after="40"/>
        <w:ind w:firstLine="420"/>
      </w:pPr>
      <w:r>
        <w:t>教材要求，机构应分析执法和政府风险报告，以制定可操作的监控场景</w:t>
      </w:r>
      <w:r>
        <w:rPr>
          <w:sz w:val="15"/>
          <w:vertAlign w:val="superscript"/>
        </w:rPr>
        <w:t>P442</w:t>
      </w:r>
      <w:r>
        <w:t>。同时，企业全面风险评估（EWRA）应纳入国家风险评估和行业风险评估中识别的风险</w:t>
      </w:r>
      <w:r>
        <w:rPr>
          <w:sz w:val="15"/>
          <w:vertAlign w:val="superscript"/>
        </w:rPr>
        <w:t>P268</w:t>
      </w:r>
      <w:r>
        <w:t>。在改进交易监控时，利用监管报告的关键步骤，一是把报告中揭示的风险系统纳入内部风险评估，使固有风险和控制措施与外部风险图景对齐；二是依据报告中已披露的犯罪类型，直接构建或完善监控场景，让监控系统覆盖真实威胁。选项B和D正对应这两个直接运用监管报告洞察的步骤。</w:t>
      </w:r>
    </w:p>
    <w:p>
      <w:pPr>
        <w:spacing w:before="120" w:after="40"/>
      </w:pPr>
      <w:r>
        <w:rPr>
          <w:b/>
          <w:sz w:val="21"/>
          <w:shd w:fill="D6E4F0" w:val="clear"/>
        </w:rPr>
        <w:t>教材原句</w:t>
      </w:r>
    </w:p>
    <w:p>
      <w:pPr>
        <w:spacing w:line="360" w:lineRule="auto" w:after="40"/>
        <w:ind w:firstLine="420"/>
      </w:pPr>
      <w:r>
        <w:t>"Institutions should also analyze law enforcement and government risk reports, such as those from the US Treasury and FinCEN, national money laundering risk assessments, and peer discussions to help develop actionable monitoring scenarios."</w:t>
      </w:r>
    </w:p>
    <w:p>
      <w:pPr>
        <w:spacing w:before="120" w:after="40"/>
      </w:pPr>
      <w:r>
        <w:rPr>
          <w:b/>
          <w:sz w:val="21"/>
          <w:shd w:fill="D6E4F0" w:val="clear"/>
        </w:rPr>
        <w:t>A项错误</w:t>
      </w:r>
    </w:p>
    <w:p>
      <w:pPr>
        <w:spacing w:line="360" w:lineRule="auto" w:after="40"/>
        <w:ind w:firstLine="420"/>
      </w:pPr>
      <w:r>
        <w:t>教材将数据来源分为内外部并举例说明（P466-467），但并未将“对报告中提及的所有部门和产品进行内部数据比较”列为利用监管报告改进监控的关键步骤。监管报告的核心价值在于提炼风险类型与犯罪手法，推动场景设计和风险评估，而非驱动泛化的内部数据比对，因此该项的匹配度不如B和D直接。</w:t>
      </w:r>
    </w:p>
    <w:p>
      <w:pPr>
        <w:spacing w:before="120" w:after="40"/>
      </w:pPr>
      <w:r>
        <w:rPr>
          <w:b/>
          <w:sz w:val="21"/>
          <w:shd w:fill="D6E4F0" w:val="clear"/>
        </w:rPr>
        <w:t>C项错误</w:t>
      </w:r>
    </w:p>
    <w:p>
      <w:pPr>
        <w:spacing w:line="360" w:lineRule="auto" w:after="40"/>
        <w:ind w:firstLine="420"/>
      </w:pPr>
      <w:r>
        <w:t>教材在阈值校准部分提到可利用“同行比较”来优化监控规则</w:t>
      </w:r>
      <w:r>
        <w:rPr>
          <w:sz w:val="15"/>
          <w:vertAlign w:val="superscript"/>
        </w:rPr>
        <w:t>P444</w:t>
      </w:r>
      <w:r>
        <w:t>，这属于场景调优的技术手段。但题干聚焦的是如何利用监管报告这一具体输入来改进监控，将报告与同行数据进行比较，不如直接把报告中的风险纳入评估、用犯罪类型构建场景更直接地体现“利用报告”的核心动作。</w:t>
      </w:r>
    </w:p>
    <w:p>
      <w:pPr>
        <w:spacing w:before="120" w:after="40"/>
      </w:pPr>
      <w:r>
        <w:rPr>
          <w:b/>
          <w:sz w:val="21"/>
          <w:shd w:fill="D6E4F0" w:val="clear"/>
        </w:rPr>
        <w:t>易错提醒</w:t>
      </w:r>
    </w:p>
    <w:p>
      <w:pPr>
        <w:spacing w:line="360" w:lineRule="auto" w:after="40"/>
        <w:ind w:firstLine="420"/>
      </w:pPr>
      <w:r>
        <w:t>监管报告提供的风险洞察直接应用于风险评估和监控场景设计；而同行数据比较主要用于阈值校准和参数调优，并非针对监管报告本身的直接运用途径。</w:t>
      </w:r>
    </w:p>
    <w:p>
      <w:pPr>
        <w:spacing w:line="360" w:lineRule="auto" w:after="120"/>
      </w:pPr>
      <w:r/>
    </w:p>
    <w:p>
      <w:pPr>
        <w:spacing w:line="360" w:lineRule="auto" w:after="40"/>
      </w:pPr>
      <w:r>
        <w:t>10. The financial industry relies heavily on rules-based approaches to transaction monitoring to detect suspicious activities. Scenario-based systems use technology and algorithms to identify: (Choose three.) ( )</w:t>
      </w:r>
    </w:p>
    <w:p>
      <w:pPr>
        <w:spacing w:line="360" w:lineRule="auto" w:after="20"/>
        <w:ind w:firstLine="283"/>
      </w:pPr>
      <w:r>
        <w:t>A. Fraudulent identities involving stolen or manufactured identification.</w:t>
      </w:r>
    </w:p>
    <w:p>
      <w:pPr>
        <w:spacing w:line="360" w:lineRule="auto" w:after="20"/>
        <w:ind w:firstLine="283"/>
      </w:pPr>
      <w:r>
        <w:t>B. Suspicious behavior involving a transaction that occurs at an unusual time of day.</w:t>
      </w:r>
    </w:p>
    <w:p>
      <w:pPr>
        <w:spacing w:line="360" w:lineRule="auto" w:after="20"/>
        <w:ind w:firstLine="283"/>
      </w:pPr>
      <w:r>
        <w:t>C. Hidden beneficial owners.</w:t>
      </w:r>
    </w:p>
    <w:p>
      <w:pPr>
        <w:spacing w:line="360" w:lineRule="auto" w:after="20"/>
        <w:ind w:firstLine="283"/>
      </w:pPr>
      <w:r>
        <w:t>D. Transaction patterns involving transactions that exceed a certain dollar amount.</w:t>
      </w:r>
    </w:p>
    <w:p>
      <w:pPr>
        <w:spacing w:line="360" w:lineRule="auto" w:after="20"/>
        <w:ind w:firstLine="283"/>
      </w:pPr>
      <w:r>
        <w:t>E. Anomalies involving a transaction that occurs far from the customer's usual spending location.</w:t>
      </w:r>
    </w:p>
    <w:p>
      <w:pPr>
        <w:spacing w:line="360" w:lineRule="auto" w:after="40"/>
      </w:pPr>
      <w:r>
        <w:t>答案：B、D、E</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区分交易监控场景所识别的交易行为特征与身份/所有权风险</w:t>
      </w:r>
    </w:p>
    <w:p>
      <w:pPr>
        <w:spacing w:before="120" w:after="40"/>
      </w:pPr>
      <w:r>
        <w:rPr>
          <w:b/>
          <w:sz w:val="21"/>
          <w:shd w:fill="D6E4F0" w:val="clear"/>
        </w:rPr>
        <w:t>核心解析</w:t>
      </w:r>
    </w:p>
    <w:p>
      <w:pPr>
        <w:spacing w:line="360" w:lineRule="auto" w:after="40"/>
        <w:ind w:firstLine="420"/>
      </w:pPr>
      <w:r>
        <w:t>交易监控系统是帮助金融机构检测可疑交易模式的技术框架</w:t>
      </w:r>
      <w:r>
        <w:rPr>
          <w:sz w:val="15"/>
          <w:vertAlign w:val="superscript"/>
        </w:rPr>
        <w:t>P325</w:t>
      </w:r>
      <w:r>
        <w:t>。监控场景应覆盖可疑交易行为，例如大额现金存款、频繁拆分交易、快速资金转移和跨境交易等</w:t>
      </w:r>
      <w:r>
        <w:rPr>
          <w:sz w:val="15"/>
          <w:vertAlign w:val="superscript"/>
        </w:rPr>
        <w:t>P442</w:t>
      </w:r>
      <w:r>
        <w:t>。基于场景的系统通过规则和算法识别交易中的异常特征。选项B“不寻常时间发生的交易”符合教材对正常营业时间外大额交易可能表明非法活动的警示</w:t>
      </w:r>
      <w:r>
        <w:rPr>
          <w:sz w:val="15"/>
          <w:vertAlign w:val="superscript"/>
        </w:rPr>
        <w:t>P130</w:t>
      </w:r>
      <w:r>
        <w:t>；选项D“超过一定金额的交易模式”直接对应教材中基于金额阈值的简单规则示例</w:t>
      </w:r>
      <w:r>
        <w:rPr>
          <w:sz w:val="15"/>
          <w:vertAlign w:val="superscript"/>
        </w:rPr>
        <w:t>P333</w:t>
      </w:r>
      <w:r>
        <w:t>；选项E“远离客户通常消费地点的交易”匹配教材关于地理定位风险指标——交易涉及远离客户运营区域的机构</w:t>
      </w:r>
      <w:r>
        <w:rPr>
          <w:sz w:val="15"/>
          <w:vertAlign w:val="superscript"/>
        </w:rPr>
        <w:t>P395</w:t>
      </w:r>
      <w:r>
        <w:t>。三者均属于交易监控系统所分析的交易模式与行为异常，因此B、D、E是正确答案。</w:t>
      </w:r>
    </w:p>
    <w:p>
      <w:pPr>
        <w:spacing w:before="120" w:after="40"/>
      </w:pPr>
      <w:r>
        <w:rPr>
          <w:b/>
          <w:sz w:val="21"/>
          <w:shd w:fill="D6E4F0" w:val="clear"/>
        </w:rPr>
        <w:t>教材原句</w:t>
      </w:r>
    </w:p>
    <w:p>
      <w:pPr>
        <w:spacing w:line="360" w:lineRule="auto" w:after="40"/>
        <w:ind w:firstLine="420"/>
      </w:pPr>
      <w:r>
        <w:t>"Monitoring scenarios should also address suspicious transaction behaviors, including large cash deposits, frequent structuring (or "smurfing"), rapid fund movement between accounts, and cross-border transactions to high-risk regions."</w:t>
      </w:r>
    </w:p>
    <w:p>
      <w:pPr>
        <w:spacing w:before="120" w:after="40"/>
      </w:pPr>
      <w:r>
        <w:rPr>
          <w:b/>
          <w:sz w:val="21"/>
          <w:shd w:fill="D6E4F0" w:val="clear"/>
        </w:rPr>
        <w:t>A项错误</w:t>
      </w:r>
    </w:p>
    <w:p>
      <w:pPr>
        <w:spacing w:line="360" w:lineRule="auto" w:after="40"/>
        <w:ind w:firstLine="420"/>
      </w:pPr>
      <w:r>
        <w:t>教材将盗用或伪造身份的风险更多置于远程开户的客户身份验证环节</w:t>
      </w:r>
      <w:r>
        <w:rPr>
          <w:sz w:val="15"/>
          <w:vertAlign w:val="superscript"/>
        </w:rPr>
        <w:t>P63</w:t>
      </w:r>
      <w:r>
        <w:t>，属于客户尽职调查阶段关注的问题，而非交易监控系统直接通过规则识别的交易行为模式。题干要求选取基于场景的系统所识别的对象，选项B、D、E均聚焦交易本身的时间、金额、地点特征，与教材对交易监控场景的定义更吻合。</w:t>
      </w:r>
    </w:p>
    <w:p>
      <w:pPr>
        <w:spacing w:before="120" w:after="40"/>
      </w:pPr>
      <w:r>
        <w:rPr>
          <w:b/>
          <w:sz w:val="21"/>
          <w:shd w:fill="D6E4F0" w:val="clear"/>
        </w:rPr>
        <w:t>C项错误</w:t>
      </w:r>
    </w:p>
    <w:p>
      <w:pPr>
        <w:spacing w:line="360" w:lineRule="auto" w:after="40"/>
        <w:ind w:firstLine="420"/>
      </w:pPr>
      <w:r>
        <w:t>隐藏受益所有人的问题源于复杂所有权结构</w:t>
      </w:r>
      <w:r>
        <w:rPr>
          <w:sz w:val="15"/>
          <w:vertAlign w:val="superscript"/>
        </w:rPr>
        <w:t>P106</w:t>
      </w:r>
      <w:r>
        <w:t>，通常需要在客户尽职调查和受益所有人报告环节加以识别，而不是交易监控系统通过行为规则直接捕获的模式。相比之下，正确项B、D、E反映的都是交易活动中可直接由规则触发的行为特征，与教材对交易监控场景的定位更为匹配。</w:t>
      </w:r>
    </w:p>
    <w:p>
      <w:pPr>
        <w:spacing w:line="360" w:lineRule="auto" w:after="120"/>
      </w:pPr>
      <w:r/>
    </w:p>
    <w:p>
      <w:pPr>
        <w:spacing w:line="360" w:lineRule="auto" w:after="40"/>
      </w:pPr>
      <w:r>
        <w:t>11. Which of the following businesses require enhanced or additional scenarios for identifying anomalous transactions? (Select Two.) ( )</w:t>
      </w:r>
    </w:p>
    <w:p>
      <w:pPr>
        <w:spacing w:line="360" w:lineRule="auto" w:after="20"/>
        <w:ind w:firstLine="283"/>
      </w:pPr>
      <w:r>
        <w:t>A. Companies operating in cash-intensive businesses that are not subject to licensing requirements</w:t>
      </w:r>
    </w:p>
    <w:p>
      <w:pPr>
        <w:spacing w:line="360" w:lineRule="auto" w:after="20"/>
        <w:ind w:firstLine="283"/>
      </w:pPr>
      <w:r>
        <w:t>B. Companies operating hospitals and health-care services</w:t>
      </w:r>
    </w:p>
    <w:p>
      <w:pPr>
        <w:spacing w:line="360" w:lineRule="auto" w:after="20"/>
        <w:ind w:firstLine="283"/>
      </w:pPr>
      <w:r>
        <w:t>C. Companies operating in cash-intensive businesses that are subject to licensing requirements</w:t>
      </w:r>
    </w:p>
    <w:p>
      <w:pPr>
        <w:spacing w:line="360" w:lineRule="auto" w:after="20"/>
        <w:ind w:firstLine="283"/>
      </w:pPr>
      <w:r>
        <w:t>D. Companies producing pharmaceutical products and medical devices, and companies engaged in mining</w:t>
      </w:r>
    </w:p>
    <w:p>
      <w:pPr>
        <w:spacing w:line="360" w:lineRule="auto" w:after="20"/>
        <w:ind w:firstLine="283"/>
      </w:pPr>
      <w:r>
        <w:t>E. Companies operating retail stores nationwide</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识别需增强交易监控场景的高风险行业类型</w:t>
      </w:r>
    </w:p>
    <w:p>
      <w:pPr>
        <w:spacing w:before="120" w:after="40"/>
      </w:pPr>
      <w:r>
        <w:rPr>
          <w:b/>
          <w:sz w:val="21"/>
          <w:shd w:fill="D6E4F0" w:val="clear"/>
        </w:rPr>
        <w:t>核心解析</w:t>
      </w:r>
    </w:p>
    <w:p>
      <w:pPr>
        <w:spacing w:line="360" w:lineRule="auto" w:after="40"/>
        <w:ind w:firstLine="420"/>
      </w:pPr>
      <w:r>
        <w:t>高风险客户如政治敏感人物、壳公司和高风险司法管辖区实体，需要强化监控和专门警报</w:t>
      </w:r>
      <w:r>
        <w:rPr>
          <w:sz w:val="15"/>
          <w:vertAlign w:val="superscript"/>
        </w:rPr>
        <w:t>P442</w:t>
      </w:r>
      <w:r>
        <w:t>。现金密集型业务因大量现金交易易被用于洗钱</w:t>
      </w:r>
      <w:r>
        <w:rPr>
          <w:sz w:val="15"/>
          <w:vertAlign w:val="superscript"/>
        </w:rPr>
        <w:t>P65</w:t>
      </w:r>
      <w:r>
        <w:t>，若不受许可要求约束则缺乏监管，风险更高。矿业公司、制药公司等行业被明确认定为面临更高金融犯罪风险</w:t>
      </w:r>
      <w:r>
        <w:rPr>
          <w:sz w:val="15"/>
          <w:vertAlign w:val="superscript"/>
        </w:rPr>
        <w:t>P311、P43、P138</w:t>
      </w:r>
      <w:r>
        <w:t>。因此，从事现金密集型业务且不受许可约束的公司（A），以及制药和矿业公司（D），属于需要增强或额外场景来识别异常交易的典型高风险业务。</w:t>
      </w:r>
    </w:p>
    <w:p>
      <w:pPr>
        <w:spacing w:before="120" w:after="40"/>
      </w:pPr>
      <w:r>
        <w:rPr>
          <w:b/>
          <w:sz w:val="21"/>
          <w:shd w:fill="D6E4F0" w:val="clear"/>
        </w:rPr>
        <w:t>教材原句</w:t>
      </w:r>
    </w:p>
    <w:p>
      <w:pPr>
        <w:spacing w:line="360" w:lineRule="auto" w:after="40"/>
        <w:ind w:firstLine="420"/>
      </w:pPr>
      <w:r>
        <w:t>"High-risk customers, such as PEPs, shell companies, and entities operating in high-risk jurisdictions, require enhanced monitoring with specialized alerts."</w:t>
      </w:r>
    </w:p>
    <w:p>
      <w:pPr>
        <w:spacing w:before="120" w:after="40"/>
      </w:pPr>
      <w:r>
        <w:rPr>
          <w:b/>
          <w:sz w:val="21"/>
          <w:shd w:fill="D6E4F0" w:val="clear"/>
        </w:rPr>
        <w:t>B项错误</w:t>
      </w:r>
    </w:p>
    <w:p>
      <w:pPr>
        <w:spacing w:line="360" w:lineRule="auto" w:after="40"/>
        <w:ind w:firstLine="420"/>
      </w:pPr>
      <w:r>
        <w:t>医院和医疗保健服务在教材中未列为需要增强场景的典型高风险行业，相比A和D，与题干所问的高风险业务匹配度更低。</w:t>
      </w:r>
    </w:p>
    <w:p>
      <w:pPr>
        <w:spacing w:before="120" w:after="40"/>
      </w:pPr>
      <w:r>
        <w:rPr>
          <w:b/>
          <w:sz w:val="21"/>
          <w:shd w:fill="D6E4F0" w:val="clear"/>
        </w:rPr>
        <w:t>C项错误</w:t>
      </w:r>
    </w:p>
    <w:p>
      <w:pPr>
        <w:spacing w:line="360" w:lineRule="auto" w:after="40"/>
        <w:ind w:firstLine="420"/>
      </w:pPr>
      <w:r>
        <w:t>受许可要求约束意味着企业已纳入监管，自身风险可控，而题干问的是“需要增强或额外场景”的业务；不受许可约束的现金密集型公司因缺乏监管更需增强监控，因此A比C更直接匹配题干要求。</w:t>
      </w:r>
    </w:p>
    <w:p>
      <w:pPr>
        <w:spacing w:before="120" w:after="40"/>
      </w:pPr>
      <w:r>
        <w:rPr>
          <w:b/>
          <w:sz w:val="21"/>
          <w:shd w:fill="D6E4F0" w:val="clear"/>
        </w:rPr>
        <w:t>E项错误</w:t>
      </w:r>
    </w:p>
    <w:p>
      <w:pPr>
        <w:spacing w:line="360" w:lineRule="auto" w:after="40"/>
        <w:ind w:firstLine="420"/>
      </w:pPr>
      <w:r>
        <w:t>普通全国性零售店不属于教材列举的典型高风险行业，除非涉及高价值商品零售商，但题干未提供此类特征，因此不如A和D那样符合高风险定义。</w:t>
      </w:r>
    </w:p>
    <w:p>
      <w:pPr>
        <w:spacing w:before="120" w:after="40"/>
      </w:pPr>
      <w:r>
        <w:rPr>
          <w:b/>
          <w:sz w:val="21"/>
          <w:shd w:fill="D6E4F0" w:val="clear"/>
        </w:rPr>
        <w:t>易错提醒</w:t>
      </w:r>
    </w:p>
    <w:p>
      <w:pPr>
        <w:spacing w:line="360" w:lineRule="auto" w:after="40"/>
        <w:ind w:firstLine="420"/>
      </w:pPr>
      <w:r>
        <w:t>区分受许可约束与不受许可约束的现金密集型业务：不受许可约束意味着缺乏反洗钱监管，风险更高，更需要增强监控场景；受许可约束的实体通常已有合规义务，增强场景的必要性相对较低。</w:t>
      </w:r>
    </w:p>
    <w:p>
      <w:pPr>
        <w:spacing w:line="360" w:lineRule="auto" w:after="120"/>
      </w:pPr>
      <w:r/>
    </w:p>
    <w:p>
      <w:pPr>
        <w:spacing w:line="360" w:lineRule="auto" w:after="40"/>
      </w:pPr>
      <w:r>
        <w:t>12. Which of the following indicators of potentially suspicious activity are commonly associated with high-risk business sectors and structures such as shell companies? (Select Three.) ( )</w:t>
      </w:r>
    </w:p>
    <w:p>
      <w:pPr>
        <w:spacing w:line="360" w:lineRule="auto" w:after="20"/>
        <w:ind w:firstLine="283"/>
      </w:pPr>
      <w:r>
        <w:t>A. Knowing the goods or services, if identified, do not match the profile of the company or the nature of the financial activity</w:t>
      </w:r>
    </w:p>
    <w:p>
      <w:pPr>
        <w:spacing w:line="360" w:lineRule="auto" w:after="20"/>
        <w:ind w:firstLine="283"/>
      </w:pPr>
      <w:r>
        <w:t>B. All payments are in smaller amounts below reporting thresholds but are high when aggregated, while still being consistent with standard business practices</w:t>
      </w:r>
    </w:p>
    <w:p>
      <w:pPr>
        <w:spacing w:line="360" w:lineRule="auto" w:after="20"/>
        <w:ind w:firstLine="283"/>
      </w:pPr>
      <w:r>
        <w:t>C. A company regularly conducts large-volume transactions in a medium-risk jurisdiction with longstanding business partners and provides complete documentation and audit trail records</w:t>
      </w:r>
    </w:p>
    <w:p>
      <w:pPr>
        <w:spacing w:line="360" w:lineRule="auto" w:after="20"/>
        <w:ind w:firstLine="283"/>
      </w:pPr>
      <w:r>
        <w:t>D. Insufficient information is available through searches or direct inquiries to identify the originator or beneficiary of funds transfers</w:t>
      </w:r>
    </w:p>
    <w:p>
      <w:pPr>
        <w:spacing w:line="360" w:lineRule="auto" w:after="20"/>
        <w:ind w:firstLine="283"/>
      </w:pPr>
      <w:r>
        <w:t>E. Payments have no stated purpose, do not reference goods or services, or only reference a contract or invoice number</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识别与壳公司等高风险结构相关的不透明性与业务不一致性指标</w:t>
      </w:r>
    </w:p>
    <w:p>
      <w:pPr>
        <w:spacing w:before="120" w:after="40"/>
      </w:pPr>
      <w:r>
        <w:rPr>
          <w:b/>
          <w:sz w:val="21"/>
          <w:shd w:fill="D6E4F0" w:val="clear"/>
        </w:rPr>
        <w:t>核心解析</w:t>
      </w:r>
    </w:p>
    <w:p>
      <w:pPr>
        <w:spacing w:line="360" w:lineRule="auto" w:after="40"/>
        <w:ind w:firstLine="420"/>
      </w:pPr>
      <w:r>
        <w:t>与空壳公司这类高风险结构相关的可疑指标，通常指向两个方向：一是信息不透明（无法追溯资金或实体的真实控制人），二是交易活动与客户声称的业务画像不匹配。教材指出，与客户业务画像不符的交易可能表明金融犯罪</w:t>
      </w:r>
      <w:r>
        <w:rPr>
          <w:sz w:val="15"/>
          <w:vertAlign w:val="superscript"/>
        </w:rPr>
        <w:t>P443</w:t>
      </w:r>
      <w:r>
        <w:t>，而电汇中隐瞒信息（如未提供充分的受益人信息）同样是高风险业务部门常见的手法</w:t>
      </w:r>
      <w:r>
        <w:rPr>
          <w:sz w:val="15"/>
          <w:vertAlign w:val="superscript"/>
        </w:rPr>
        <w:t>P79</w:t>
      </w:r>
      <w:r>
        <w:t>。本题中，选项A的商品/服务与公司情况不符，直接吻合“业务画像不匹配”这一判断规则；选项D的无法识别资金转账发起人或受益人，和选项E的支付无明确用途，都是因壳公司刻意掩盖真实交易主体和目的而产生的不透明性表现。壳公司常被用于模糊资金去向，教材也提示涉及潜在壳公司是洗钱风险指标</w:t>
      </w:r>
      <w:r>
        <w:rPr>
          <w:sz w:val="15"/>
          <w:vertAlign w:val="superscript"/>
        </w:rPr>
        <w:t>P99</w:t>
      </w:r>
      <w:r>
        <w:t>，由此可推，信息缺失和用途模糊正是其核心风险特征。</w:t>
      </w:r>
    </w:p>
    <w:p>
      <w:pPr>
        <w:spacing w:before="120" w:after="40"/>
      </w:pPr>
      <w:r>
        <w:rPr>
          <w:b/>
          <w:sz w:val="21"/>
          <w:shd w:fill="D6E4F0" w:val="clear"/>
        </w:rPr>
        <w:t>B项错误</w:t>
      </w:r>
    </w:p>
    <w:p>
      <w:pPr>
        <w:spacing w:line="360" w:lineRule="auto" w:after="40"/>
        <w:ind w:firstLine="420"/>
      </w:pPr>
      <w:r>
        <w:t>选项B描述的是将大额资金拆分为低于报告门槛的小额交易的做法，这更接近“结构化”的定义</w:t>
      </w:r>
      <w:r>
        <w:rPr>
          <w:sz w:val="15"/>
          <w:vertAlign w:val="superscript"/>
        </w:rPr>
        <w:t>P17</w:t>
      </w:r>
      <w:r>
        <w:t>，属于规避报告门槛的常规洗钱手法，并非高风险业务部门或壳公司所特有的指标。题干要求关联的是高风险结构（如空壳公司）本身带来的可疑特征，而结构化的核心在于金额拆分，与业务结构的风险类别的直接匹配度不如A、D、E。</w:t>
      </w:r>
    </w:p>
    <w:p>
      <w:pPr>
        <w:spacing w:before="120" w:after="40"/>
      </w:pPr>
      <w:r>
        <w:rPr>
          <w:b/>
          <w:sz w:val="21"/>
          <w:shd w:fill="D6E4F0" w:val="clear"/>
        </w:rPr>
        <w:t>C项错误</w:t>
      </w:r>
    </w:p>
    <w:p>
      <w:pPr>
        <w:spacing w:line="360" w:lineRule="auto" w:after="40"/>
        <w:ind w:firstLine="420"/>
      </w:pPr>
      <w:r>
        <w:t>选项C描述的交易模式具备长期合作、文件齐全、审计追踪完整等特征，整体表现为透明、有据可查的正常商业行为，这与壳公司等高风险结构典型的“信息不透明”和“刻意掩盖”特征相反。在缺乏任何可疑要素的情况下，该选项更吻合低风险的合规交易画像。</w:t>
      </w:r>
    </w:p>
    <w:p>
      <w:pPr>
        <w:spacing w:before="120" w:after="40"/>
      </w:pPr>
      <w:r>
        <w:rPr>
          <w:b/>
          <w:sz w:val="21"/>
          <w:shd w:fill="D6E4F0" w:val="clear"/>
        </w:rPr>
        <w:t>易错提醒</w:t>
      </w:r>
    </w:p>
    <w:p>
      <w:pPr>
        <w:spacing w:line="360" w:lineRule="auto" w:after="40"/>
        <w:ind w:firstLine="420"/>
      </w:pPr>
      <w:r>
        <w:t>选项B“所有支付金额均低于报告门槛，但累计起来数额较大”是结构化（structuring）的典型描述，它是一种拆分大额资金以躲避报告义务的洗钱技术</w:t>
      </w:r>
      <w:r>
        <w:rPr>
          <w:sz w:val="15"/>
          <w:vertAlign w:val="superscript"/>
        </w:rPr>
        <w:t>P17</w:t>
      </w:r>
      <w:r>
        <w:t>，可适用于各类客户，不是壳公司特有的风险指标。而选项E“支付款项未注明用途”指向实体刻意掩盖交易真实目的，更直接关联壳公司常被用于遮掩最终受益所有人和资金用途的特性</w:t>
      </w:r>
      <w:r>
        <w:rPr>
          <w:sz w:val="15"/>
          <w:vertAlign w:val="superscript"/>
        </w:rPr>
        <w:t>P99</w:t>
      </w:r>
      <w:r>
        <w:t>。二者核心区分在于：B描述的是金额拆分手法，E描述的是信息缺失，后者的不透明性与壳公司的关联更强。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