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(EN)</w:t>
      </w:r>
    </w:p>
    <w:p>
      <w:pPr>
        <w:spacing w:line="360" w:lineRule="auto" w:after="160"/>
      </w:pPr>
      <w:r>
        <w:t>一、单项选择题</w:t>
      </w:r>
    </w:p>
    <w:p>
      <w:pPr>
        <w:spacing w:line="360" w:lineRule="auto" w:after="40"/>
      </w:pPr>
      <w:r>
        <w:t>1. Customer segmentation is important for effective transaction monitoring because: ( )</w:t>
      </w:r>
    </w:p>
    <w:p>
      <w:pPr>
        <w:spacing w:line="360" w:lineRule="auto" w:after="20"/>
        <w:ind w:firstLine="283"/>
      </w:pPr>
      <w:r>
        <w:t>A. All customers transact in the same way, allowing patterns to be easily spotted</w:t>
      </w:r>
    </w:p>
    <w:p>
      <w:pPr>
        <w:spacing w:line="360" w:lineRule="auto" w:after="20"/>
        <w:ind w:firstLine="283"/>
      </w:pPr>
      <w:r>
        <w:t>B. Customer behavior can be compared and analyzed most effectively among similar peer groups</w:t>
      </w:r>
    </w:p>
    <w:p>
      <w:pPr>
        <w:spacing w:line="360" w:lineRule="auto" w:after="20"/>
        <w:ind w:firstLine="283"/>
      </w:pPr>
      <w:r>
        <w:t>C. It allows a broad range of customer types to be compared in one large group</w:t>
      </w:r>
    </w:p>
    <w:p>
      <w:pPr>
        <w:spacing w:line="360" w:lineRule="auto" w:after="20"/>
        <w:ind w:firstLine="283"/>
      </w:pPr>
      <w:r>
        <w:t>D. It is recommended by regulators solely to prevent sanctions risk</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客户细分的核心逻辑：在同质群体内建立行为基准，识别偏离</w:t>
      </w:r>
    </w:p>
    <w:p>
      <w:pPr>
        <w:spacing w:before="120" w:after="40"/>
      </w:pPr>
      <w:r>
        <w:rPr>
          <w:b/>
          <w:sz w:val="21"/>
          <w:shd w:fill="D6E4F0" w:val="clear"/>
        </w:rPr>
        <w:t>核心解析</w:t>
      </w:r>
    </w:p>
    <w:p>
      <w:pPr>
        <w:spacing w:line="360" w:lineRule="auto" w:after="40"/>
        <w:ind w:firstLine="420"/>
      </w:pPr>
      <w:r>
        <w:t>客户分群指根据业务类型、交易行为和风险状况对客户进行分类</w:t>
      </w:r>
      <w:r>
        <w:rPr>
          <w:sz w:val="15"/>
          <w:vertAlign w:val="superscript"/>
        </w:rPr>
        <w:t>P436</w:t>
      </w:r>
      <w:r>
        <w:t>。分群后，机构为每个群体设定反映预期活动的阈值，并应用适当规则，以识别偏离预期行为的客户（P436-437）。这意味着分群之所以对有效交易监控重要，根本原因在于它把客户按相似特征归入可比较的群体——只有与同类客户对比，机构才能建立合理基准，有效判断谁的行为属于异常。正确项B直接抓住了这一逻辑：客户行为在相似的同类群体中最能得到有效的比较和分析。</w:t>
      </w:r>
    </w:p>
    <w:p>
      <w:pPr>
        <w:spacing w:before="120" w:after="40"/>
      </w:pPr>
      <w:r>
        <w:rPr>
          <w:b/>
          <w:sz w:val="21"/>
          <w:shd w:fill="D6E4F0" w:val="clear"/>
        </w:rPr>
        <w:t>教材原句</w:t>
      </w:r>
    </w:p>
    <w:p>
      <w:pPr>
        <w:spacing w:line="360" w:lineRule="auto" w:after="40"/>
        <w:ind w:firstLine="420"/>
      </w:pPr>
      <w:r>
        <w:t>"Once organizations have identified customer segments, they apply appropriate rules to each segment. This provides an initial framework to identify customers who deviate from their expected behavior."</w:t>
      </w:r>
    </w:p>
    <w:p>
      <w:pPr>
        <w:spacing w:before="120" w:after="40"/>
      </w:pPr>
      <w:r>
        <w:rPr>
          <w:b/>
          <w:sz w:val="21"/>
          <w:shd w:fill="D6E4F0" w:val="clear"/>
        </w:rPr>
        <w:t>A项错误：选项A与教材对客户行为的描述相反。教材指出犯罪分子会通过结构化交易来规避控制（P436），这本身就说明客户行为并非都以相同方式进行。交易监控的核心逻辑是建立预期、识别偏离——如果所有客户行为一致，“异常”无从定义。正确项B更直接吻合教材</w:t>
      </w:r>
    </w:p>
    <w:p>
      <w:pPr>
        <w:spacing w:line="360" w:lineRule="auto" w:after="40"/>
        <w:ind w:firstLine="420"/>
      </w:pPr>
      <w:r>
        <w:t>只有分群后在同质群体内部比较，偏离才可被有效识别。</w:t>
      </w:r>
    </w:p>
    <w:p>
      <w:pPr>
        <w:spacing w:before="120" w:after="40"/>
      </w:pPr>
      <w:r>
        <w:rPr>
          <w:b/>
          <w:sz w:val="21"/>
          <w:shd w:fill="D6E4F0" w:val="clear"/>
        </w:rPr>
        <w:t>C项错误</w:t>
      </w:r>
    </w:p>
    <w:p>
      <w:pPr>
        <w:spacing w:line="360" w:lineRule="auto" w:after="40"/>
        <w:ind w:firstLine="420"/>
      </w:pPr>
      <w:r>
        <w:t>选项C把分群的概念逆转成了合并。教材指出分群是根据业务类型等维度将客户分类</w:t>
      </w:r>
      <w:r>
        <w:rPr>
          <w:sz w:val="15"/>
          <w:vertAlign w:val="superscript"/>
        </w:rPr>
        <w:t>P436</w:t>
      </w:r>
      <w:r>
        <w:t>，然后针对每个群体设定反映该群体预期活动的阈值</w:t>
      </w:r>
      <w:r>
        <w:rPr>
          <w:sz w:val="15"/>
          <w:vertAlign w:val="superscript"/>
        </w:rPr>
        <w:t>P436</w:t>
      </w:r>
      <w:r>
        <w:t>，识别偏离者</w:t>
      </w:r>
      <w:r>
        <w:rPr>
          <w:sz w:val="15"/>
          <w:vertAlign w:val="superscript"/>
        </w:rPr>
        <w:t>P437</w:t>
      </w:r>
      <w:r>
        <w:t>。把所有客户归入一个大组，就无法为不同类型的客户分别建立行为基准，偏离也无从判断。分群的目的是精细化比较，而非粗糙归总，正确项B更吻合教材对分群的定义。</w:t>
      </w:r>
    </w:p>
    <w:p>
      <w:pPr>
        <w:spacing w:before="120" w:after="40"/>
      </w:pPr>
      <w:r>
        <w:rPr>
          <w:b/>
          <w:sz w:val="21"/>
          <w:shd w:fill="D6E4F0" w:val="clear"/>
        </w:rPr>
        <w:t>D项错误</w:t>
      </w:r>
    </w:p>
    <w:p>
      <w:pPr>
        <w:spacing w:line="360" w:lineRule="auto" w:after="40"/>
        <w:ind w:firstLine="420"/>
      </w:pPr>
      <w:r>
        <w:t>选项D中的“仅”字使该选项范围过窄。教材指出有效交易监控不仅服务于制裁筛查，还包括检测金融犯罪</w:t>
      </w:r>
      <w:r>
        <w:rPr>
          <w:sz w:val="15"/>
          <w:vertAlign w:val="superscript"/>
        </w:rPr>
        <w:t>P428</w:t>
      </w:r>
      <w:r>
        <w:t>，风险为本方法针对的是洗钱和恐怖融资风险</w:t>
      </w:r>
      <w:r>
        <w:rPr>
          <w:sz w:val="15"/>
          <w:vertAlign w:val="superscript"/>
        </w:rPr>
        <w:t>P270</w:t>
      </w:r>
      <w:r>
        <w:t>。制裁风险只是交易监控需要覆盖的众多风险类型之一，题干问的是客户细分对交易监控的整体价值，而非单一维度的理由，正确项B比D更全面匹配教材的框架。</w:t>
      </w:r>
    </w:p>
    <w:p>
      <w:pPr>
        <w:spacing w:before="120" w:after="40"/>
      </w:pPr>
      <w:r>
        <w:rPr>
          <w:b/>
          <w:sz w:val="21"/>
          <w:shd w:fill="D6E4F0" w:val="clear"/>
        </w:rPr>
        <w:t>易错提醒</w:t>
      </w:r>
    </w:p>
    <w:p>
      <w:pPr>
        <w:spacing w:line="360" w:lineRule="auto" w:after="40"/>
        <w:ind w:firstLine="420"/>
      </w:pPr>
      <w:r>
        <w:t>分群（segmentation）的核心是“分”不是“合”——把客户按特征分类后在各自同质群体内部建立行为基准，才能有效比较和识别偏离。教材P436将分群定义为根据业务类型、交易行为和风险状况对客户进行分类，强调的正是差异化处理而非混入大池子。选项C用“归入一个大组”偷换了分群的方向，这是初学者最容易混淆的地方。</w:t>
      </w:r>
    </w:p>
    <w:p>
      <w:pPr>
        <w:spacing w:line="360" w:lineRule="auto" w:after="120"/>
      </w:pPr>
      <w:r/>
    </w:p>
    <w:p>
      <w:pPr>
        <w:spacing w:line="360" w:lineRule="auto" w:after="40"/>
      </w:pPr>
      <w:r>
        <w:t>2. A compliance analyst has recently investigated an account where money was deposited in amounts below the reporting limit and almost entirely withdrawn in a foreign country. Which type of money laundering is the compliance analyst potentially identifying? ( )</w:t>
      </w:r>
    </w:p>
    <w:p>
      <w:pPr>
        <w:spacing w:line="360" w:lineRule="auto" w:after="20"/>
        <w:ind w:firstLine="283"/>
      </w:pPr>
      <w:r>
        <w:t>A. Trade-based</w:t>
      </w:r>
    </w:p>
    <w:p>
      <w:pPr>
        <w:spacing w:line="360" w:lineRule="auto" w:after="20"/>
        <w:ind w:firstLine="283"/>
      </w:pPr>
      <w:r>
        <w:t>B. Check kiting</w:t>
      </w:r>
    </w:p>
    <w:p>
      <w:pPr>
        <w:spacing w:line="360" w:lineRule="auto" w:after="20"/>
        <w:ind w:firstLine="283"/>
      </w:pPr>
      <w:r>
        <w:t>C. Microstructuring</w:t>
      </w:r>
    </w:p>
    <w:p>
      <w:pPr>
        <w:spacing w:line="360" w:lineRule="auto" w:after="20"/>
        <w:ind w:firstLine="283"/>
      </w:pPr>
      <w:r>
        <w:t>D. Structuring</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识别低于报告门槛拆分存款的结构化交易特征</w:t>
      </w:r>
    </w:p>
    <w:p>
      <w:pPr>
        <w:spacing w:before="120" w:after="40"/>
      </w:pPr>
      <w:r>
        <w:rPr>
          <w:b/>
          <w:sz w:val="21"/>
          <w:shd w:fill="D6E4F0" w:val="clear"/>
        </w:rPr>
        <w:t>核心解析</w:t>
      </w:r>
    </w:p>
    <w:p>
      <w:pPr>
        <w:spacing w:line="360" w:lineRule="auto" w:after="40"/>
        <w:ind w:firstLine="420"/>
      </w:pPr>
      <w:r>
        <w:t>结构化指犯罪分子将大额交易拆分为多笔略低于报告门槛的小额交易，以规避触发监控控制</w:t>
      </w:r>
      <w:r>
        <w:rPr>
          <w:sz w:val="15"/>
          <w:vertAlign w:val="superscript"/>
        </w:rPr>
        <w:t>P436</w:t>
      </w:r>
      <w:r>
        <w:t>。例如，若监管要求报告超过1万美元的现金存款，客户多次存入9900美元可能构成结构化</w:t>
      </w:r>
      <w:r>
        <w:rPr>
          <w:sz w:val="15"/>
          <w:vertAlign w:val="superscript"/>
        </w:rPr>
        <w:t>P445</w:t>
      </w:r>
      <w:r>
        <w:t>。题干中账户收到多笔低于报告限额的存款，几乎全部在外国被取走，这正吻合了结构化的核心行为模式——通过控制单笔金额低于阈值来躲避报告义务。</w:t>
      </w:r>
    </w:p>
    <w:p>
      <w:pPr>
        <w:spacing w:before="120" w:after="40"/>
      </w:pPr>
      <w:r>
        <w:rPr>
          <w:b/>
          <w:sz w:val="21"/>
          <w:shd w:fill="D6E4F0" w:val="clear"/>
        </w:rPr>
        <w:t>教材原句</w:t>
      </w:r>
    </w:p>
    <w:p>
      <w:pPr>
        <w:spacing w:line="360" w:lineRule="auto" w:after="40"/>
        <w:ind w:firstLine="420"/>
      </w:pPr>
      <w:r>
        <w:t>"criminals can evade triggering these controls by breaking down large transactions into multiple smaller ones, each of which is just below the reporting threshold, a practice known as structuring."</w:t>
      </w:r>
    </w:p>
    <w:p>
      <w:pPr>
        <w:spacing w:before="120" w:after="40"/>
      </w:pPr>
      <w:r>
        <w:rPr>
          <w:b/>
          <w:sz w:val="21"/>
          <w:shd w:fill="D6E4F0" w:val="clear"/>
        </w:rPr>
        <w:t>A项错误</w:t>
      </w:r>
    </w:p>
    <w:p>
      <w:pPr>
        <w:spacing w:line="360" w:lineRule="auto" w:after="40"/>
        <w:ind w:firstLine="420"/>
      </w:pPr>
      <w:r>
        <w:t>教材中贸易洗钱涉及利用特殊目的载体（SPV）和集合投资工具（PIV）操纵交易价格，将非法资金伪装成合法贸易活动</w:t>
      </w:r>
      <w:r>
        <w:rPr>
          <w:sz w:val="15"/>
          <w:vertAlign w:val="superscript"/>
        </w:rPr>
        <w:t>P76</w:t>
      </w:r>
      <w:r>
        <w:t>。题干只描述了存款和取款的行为模式，未提及虚假发票、虚构商品交易或操纵价格等贸易洗钱要素，结构化更直接匹配题干条件。</w:t>
      </w:r>
    </w:p>
    <w:p>
      <w:pPr>
        <w:spacing w:before="120" w:after="40"/>
      </w:pPr>
      <w:r>
        <w:rPr>
          <w:b/>
          <w:sz w:val="21"/>
          <w:shd w:fill="D6E4F0" w:val="clear"/>
        </w:rPr>
        <w:t>B项错误</w:t>
      </w:r>
    </w:p>
    <w:p>
      <w:pPr>
        <w:spacing w:line="360" w:lineRule="auto" w:after="40"/>
        <w:ind w:firstLine="420"/>
      </w:pPr>
      <w:r>
        <w:t>教材在NatWest案例中提及支票轧空涉及系统将现金存款误标为支票存款，导致监控规则失效</w:t>
      </w:r>
      <w:r>
        <w:rPr>
          <w:sz w:val="15"/>
          <w:vertAlign w:val="superscript"/>
        </w:rPr>
        <w:t>P326</w:t>
      </w:r>
      <w:r>
        <w:t>。题干描述的是存款金额低于报告限额的模式，没有支票结算或误标的情节，结构化与该行为模式的吻合度更高。</w:t>
      </w:r>
    </w:p>
    <w:p>
      <w:pPr>
        <w:spacing w:before="120" w:after="40"/>
      </w:pPr>
      <w:r>
        <w:rPr>
          <w:b/>
          <w:sz w:val="21"/>
          <w:shd w:fill="D6E4F0" w:val="clear"/>
        </w:rPr>
        <w:t>C项错误</w:t>
      </w:r>
    </w:p>
    <w:p>
      <w:pPr>
        <w:spacing w:line="360" w:lineRule="auto" w:after="40"/>
        <w:ind w:firstLine="420"/>
      </w:pPr>
      <w:r>
        <w:t>微结构化类似传统结构化，但通常用于数字资产洗钱场景</w:t>
      </w:r>
      <w:r>
        <w:rPr>
          <w:sz w:val="15"/>
          <w:vertAlign w:val="superscript"/>
        </w:rPr>
        <w:t>P17</w:t>
      </w:r>
      <w:r>
        <w:t>。教材在Tamayo案例中同时展示了结构化和微结构化，后者指每笔金额更小（如低于1000美元）且分散于多个账户</w:t>
      </w:r>
      <w:r>
        <w:rPr>
          <w:sz w:val="15"/>
          <w:vertAlign w:val="superscript"/>
        </w:rPr>
        <w:t>P19</w:t>
      </w:r>
      <w:r>
        <w:t>。题干未提及数字资产、虚拟货币或跨账户分散操作，教材框架下结构化比微结构化更匹配题干条件。</w:t>
      </w:r>
    </w:p>
    <w:p>
      <w:pPr>
        <w:spacing w:before="120" w:after="40"/>
      </w:pPr>
      <w:r>
        <w:rPr>
          <w:b/>
          <w:sz w:val="21"/>
          <w:shd w:fill="D6E4F0" w:val="clear"/>
        </w:rPr>
        <w:t>易错提醒</w:t>
      </w:r>
    </w:p>
    <w:p>
      <w:pPr>
        <w:spacing w:line="360" w:lineRule="auto" w:after="40"/>
        <w:ind w:firstLine="420"/>
      </w:pPr>
      <w:r>
        <w:t>普通结构化与微结构化的区分标准有二：一是金额粒度，结构化通常略低于报告门槛（如9900美元），微结构化金额更小（如低于1000美元）；二是应用场景，微结构化多用于数字资产洗钱</w:t>
      </w:r>
      <w:r>
        <w:rPr>
          <w:sz w:val="15"/>
          <w:vertAlign w:val="superscript"/>
        </w:rPr>
        <w:t>P17</w:t>
      </w:r>
      <w:r>
        <w:t>。题干既未提示数字资产背景，也未给出极小额存款的线索，此时结构化比微结构化更吻合。</w:t>
      </w:r>
    </w:p>
    <w:p>
      <w:pPr>
        <w:spacing w:line="360" w:lineRule="auto" w:after="120"/>
      </w:pPr>
      <w:r/>
    </w:p>
    <w:p>
      <w:pPr>
        <w:spacing w:line="360" w:lineRule="auto" w:after="40"/>
      </w:pPr>
      <w:r>
        <w:t>3. Which techniques are most commonly used in a rules-based approach to transaction monitoring for detecting suspicious activities? (Choose two.) ( )</w:t>
      </w:r>
    </w:p>
    <w:p>
      <w:pPr>
        <w:spacing w:line="360" w:lineRule="auto" w:after="20"/>
        <w:ind w:firstLine="283"/>
      </w:pPr>
      <w:r>
        <w:t>A. Using predefined rules to flag specific transaction patterns</w:t>
      </w:r>
    </w:p>
    <w:p>
      <w:pPr>
        <w:spacing w:line="360" w:lineRule="auto" w:after="20"/>
        <w:ind w:firstLine="283"/>
      </w:pPr>
      <w:r>
        <w:t>B. Randomly flagging transactions for further investigation</w:t>
      </w:r>
    </w:p>
    <w:p>
      <w:pPr>
        <w:spacing w:line="360" w:lineRule="auto" w:after="20"/>
        <w:ind w:firstLine="283"/>
      </w:pPr>
      <w:r>
        <w:t>C. Statistical tuning of monitoring scenarios to improve accuracy</w:t>
      </w:r>
    </w:p>
    <w:p>
      <w:pPr>
        <w:spacing w:line="360" w:lineRule="auto" w:after="20"/>
        <w:ind w:firstLine="283"/>
      </w:pPr>
      <w:r>
        <w:t>D. Using advanced machine learning models to detect outliers</w:t>
      </w:r>
    </w:p>
    <w:p>
      <w:pPr>
        <w:spacing w:line="360" w:lineRule="auto" w:after="20"/>
        <w:ind w:firstLine="283"/>
      </w:pPr>
      <w:r>
        <w:t>E. Setting transaction thresholds for automated alerts</w:t>
      </w:r>
    </w:p>
    <w:p>
      <w:pPr>
        <w:spacing w:line="360" w:lineRule="auto" w:after="40"/>
      </w:pPr>
      <w:r>
        <w:t>答案：A、E</w:t>
      </w:r>
    </w:p>
    <w:p>
      <w:pPr>
        <w:spacing w:line="360" w:lineRule="auto" w:after="40"/>
      </w:pPr>
      <w:r>
        <w:t>解析：</w:t>
      </w:r>
    </w:p>
    <w:p>
      <w:pPr>
        <w:spacing w:before="120" w:after="40"/>
      </w:pPr>
      <w:r>
        <w:rPr>
          <w:b/>
          <w:sz w:val="21"/>
          <w:shd w:fill="D6E4F0" w:val="clear"/>
        </w:rPr>
        <w:t>考点</w:t>
      </w:r>
    </w:p>
    <w:p>
      <w:pPr>
        <w:spacing w:line="360" w:lineRule="auto" w:after="40"/>
        <w:ind w:firstLine="420"/>
      </w:pPr>
      <w:r>
        <w:t>基于规则的交易监控所依赖的预设规则与阈值</w:t>
      </w:r>
    </w:p>
    <w:p>
      <w:pPr>
        <w:spacing w:before="120" w:after="40"/>
      </w:pPr>
      <w:r>
        <w:rPr>
          <w:b/>
          <w:sz w:val="21"/>
          <w:shd w:fill="D6E4F0" w:val="clear"/>
        </w:rPr>
        <w:t>核心解析</w:t>
      </w:r>
    </w:p>
    <w:p>
      <w:pPr>
        <w:spacing w:line="360" w:lineRule="auto" w:after="40"/>
        <w:ind w:firstLine="420"/>
      </w:pPr>
      <w:r>
        <w:t>基于规则的交易监控方法的核心是金融机构根据已知风险因素或监管要求预先设定的静态、可预测的规则和阈值</w:t>
      </w:r>
      <w:r>
        <w:rPr>
          <w:sz w:val="15"/>
          <w:vertAlign w:val="superscript"/>
        </w:rPr>
        <w:t>P436</w:t>
      </w:r>
      <w:r>
        <w:t>。题干明确限定在“rules-based approach”范围内，问的是用于检测可疑活动的最常用技术。选项 A“利用预设规则标记特定的交易模式”直接对应预设规则（predefined rules），选项 E“设置用于自动警报的交易阀值”直接对应阈值（thresholds），二者同属教材描述的核心技术，且教材举例说明设定阈值（如 1 万美元）后超限交易触发警报</w:t>
      </w:r>
      <w:r>
        <w:rPr>
          <w:sz w:val="15"/>
          <w:vertAlign w:val="superscript"/>
        </w:rPr>
        <w:t>P436</w:t>
      </w:r>
      <w:r>
        <w:t>，正好把规则和阈值作为检测手段，因此 A 和 E 成立。</w:t>
      </w:r>
    </w:p>
    <w:p>
      <w:pPr>
        <w:spacing w:before="120" w:after="40"/>
      </w:pPr>
      <w:r>
        <w:rPr>
          <w:b/>
          <w:sz w:val="21"/>
          <w:shd w:fill="D6E4F0" w:val="clear"/>
        </w:rPr>
        <w:t>教材原句</w:t>
      </w:r>
    </w:p>
    <w:p>
      <w:pPr>
        <w:spacing w:line="360" w:lineRule="auto" w:after="40"/>
        <w:ind w:firstLine="420"/>
      </w:pPr>
      <w:r>
        <w:t>"Financial institutions create rules based on known risk factors or regulatory requirements. They set predefined rules or thresholds, which are static, predictable, and easy to implement and understand."</w:t>
      </w:r>
    </w:p>
    <w:p>
      <w:pPr>
        <w:spacing w:before="120" w:after="40"/>
      </w:pPr>
      <w:r>
        <w:rPr>
          <w:b/>
          <w:sz w:val="21"/>
          <w:shd w:fill="D6E4F0" w:val="clear"/>
        </w:rPr>
        <w:t>B项错误</w:t>
      </w:r>
    </w:p>
    <w:p>
      <w:pPr>
        <w:spacing w:line="360" w:lineRule="auto" w:after="40"/>
        <w:ind w:firstLine="420"/>
      </w:pPr>
      <w:r>
        <w:t>随机标记（Randomly flagging）与基于规则的方法相悖，基于规则的方法依赖预定义条件而非随机选择，教材从未将随机标记列为基于规则的检测技术。</w:t>
      </w:r>
    </w:p>
    <w:p>
      <w:pPr>
        <w:spacing w:before="120" w:after="40"/>
      </w:pPr>
      <w:r>
        <w:rPr>
          <w:b/>
          <w:sz w:val="21"/>
          <w:shd w:fill="D6E4F0" w:val="clear"/>
        </w:rPr>
        <w:t>C项错误</w:t>
      </w:r>
    </w:p>
    <w:p>
      <w:pPr>
        <w:spacing w:line="360" w:lineRule="auto" w:after="40"/>
        <w:ind w:firstLine="420"/>
      </w:pPr>
      <w:r>
        <w:t>通过统计方法调整监测场景（Statistical tuning of monitoring scenarios）属于监控系统的后续调优维护，教材在 P446 将其描述为“持续测试和调优交易监控场景以确保有效性”，而非直接用于检测可疑活动的技术本身，与题干所问的检测技术匹配度较低。</w:t>
      </w:r>
    </w:p>
    <w:p>
      <w:pPr>
        <w:spacing w:before="120" w:after="40"/>
      </w:pPr>
      <w:r>
        <w:rPr>
          <w:b/>
          <w:sz w:val="21"/>
          <w:shd w:fill="D6E4F0" w:val="clear"/>
        </w:rPr>
        <w:t>D项错误</w:t>
      </w:r>
    </w:p>
    <w:p>
      <w:pPr>
        <w:spacing w:line="360" w:lineRule="auto" w:after="40"/>
        <w:ind w:firstLine="420"/>
      </w:pPr>
      <w:r>
        <w:t>先进的机器学习模型（advanced machine learning models）属于行为分析手段，教材在 P398 指出机器学习可识别传统规则可能遗漏的模式，但题干明确限定在“基于规则的方法”（rules-based approach），机器学习不属于该范畴，题干更支持 A、E。</w:t>
      </w:r>
    </w:p>
    <w:p>
      <w:pPr>
        <w:spacing w:before="120" w:after="40"/>
      </w:pPr>
      <w:r>
        <w:rPr>
          <w:b/>
          <w:sz w:val="21"/>
          <w:shd w:fill="D6E4F0" w:val="clear"/>
        </w:rPr>
        <w:t>易错提醒</w:t>
      </w:r>
    </w:p>
    <w:p>
      <w:pPr>
        <w:spacing w:line="360" w:lineRule="auto" w:after="40"/>
        <w:ind w:firstLine="420"/>
      </w:pPr>
      <w:r>
        <w:t>题干限定“基于规则的方法”，题目的选项常混入“基于风险/行为的方法”技术（如机器学习和统计调优）。基于规则的方法使用预定义的静态规则和阈值</w:t>
      </w:r>
      <w:r>
        <w:rPr>
          <w:sz w:val="15"/>
          <w:vertAlign w:val="superscript"/>
        </w:rPr>
        <w:t>P436</w:t>
      </w:r>
      <w:r>
        <w:t>；机器学习通过从历史数据中学习并自适应变化</w:t>
      </w:r>
      <w:r>
        <w:rPr>
          <w:sz w:val="15"/>
          <w:vertAlign w:val="superscript"/>
        </w:rPr>
        <w:t>P398</w:t>
      </w:r>
      <w:r>
        <w:t>，属于另一类监控方法。看清方法限定词即可避免误选。</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