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CH16 (EN)</w:t>
      </w:r>
    </w:p>
    <w:p>
      <w:pPr>
        <w:spacing w:line="360" w:lineRule="auto" w:after="160"/>
      </w:pPr>
      <w:r>
        <w:t>一、单项选择题</w:t>
      </w:r>
    </w:p>
    <w:p>
      <w:pPr>
        <w:spacing w:line="360" w:lineRule="auto" w:after="40"/>
      </w:pPr>
      <w:r>
        <w:t>1. Which of the following statements is true regarding using an artificial intelligence (AI)-based system to review and identify applicable privacy and data protection rules? ( )</w:t>
      </w:r>
    </w:p>
    <w:p>
      <w:pPr>
        <w:spacing w:line="360" w:lineRule="auto" w:after="20"/>
        <w:ind w:firstLine="283"/>
      </w:pPr>
      <w:r>
        <w:t>A. Generated results will still have to be assessed for the completeness and applicability of the identified rules</w:t>
      </w:r>
    </w:p>
    <w:p>
      <w:pPr>
        <w:spacing w:line="360" w:lineRule="auto" w:after="20"/>
        <w:ind w:firstLine="283"/>
      </w:pPr>
      <w:r>
        <w:t>B. Training should focus on the rules used and not how the AI performs its function</w:t>
      </w:r>
    </w:p>
    <w:p>
      <w:pPr>
        <w:spacing w:line="360" w:lineRule="auto" w:after="20"/>
        <w:ind w:firstLine="283"/>
      </w:pPr>
      <w:r>
        <w:t>C. Generated results are likely to be accurate and valid because of the large number of rules analyzed</w:t>
      </w:r>
    </w:p>
    <w:p>
      <w:pPr>
        <w:spacing w:line="360" w:lineRule="auto" w:after="20"/>
        <w:ind w:firstLine="283"/>
      </w:pPr>
      <w:r>
        <w:t>D. AI may be ineffective because it cannot be trained to identify rules applicable to a specific bank</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AI 输出结果必须像外部数据一样被验证</w:t>
      </w:r>
    </w:p>
    <w:p>
      <w:pPr>
        <w:spacing w:before="120" w:after="40"/>
      </w:pPr>
      <w:r>
        <w:rPr>
          <w:b/>
          <w:sz w:val="21"/>
          <w:shd w:fill="D6E4F0" w:val="clear"/>
        </w:rPr>
        <w:t>核心解析</w:t>
      </w:r>
    </w:p>
    <w:p>
      <w:pPr>
        <w:spacing w:line="360" w:lineRule="auto" w:after="40"/>
        <w:ind w:firstLine="420"/>
      </w:pPr>
      <w:r>
        <w:t>AI 产品提供有用信息，但其响应应像任何外部数据一样被验证</w:t>
      </w:r>
      <w:r>
        <w:rPr>
          <w:sz w:val="15"/>
          <w:vertAlign w:val="superscript"/>
        </w:rPr>
        <w:t>P473</w:t>
      </w:r>
      <w:r>
        <w:t>。在本题中，使用 AI 审查和识别适用的隐私与数据保护规则，本质上是将 AI 作为信息获取与初步筛选的工具。然而，教材同时指出 AI 并不完美，存在幻觉、测试数据偏差和可解释性不足等局限</w:t>
      </w:r>
      <w:r>
        <w:rPr>
          <w:sz w:val="15"/>
          <w:vertAlign w:val="superscript"/>
        </w:rPr>
        <w:t>P385</w:t>
      </w:r>
      <w:r>
        <w:t>，因此即便 AI 生成了结果，仍需由人员评估所识别规则的完整性（是否遗漏关键规则）和适用性（是否针对本机构的具体情况正确匹配）。这直接支持选项 A：生成的结果仍需评估所识别规则的完整性和适用性。</w:t>
      </w:r>
    </w:p>
    <w:p>
      <w:pPr>
        <w:spacing w:before="120" w:after="40"/>
      </w:pPr>
      <w:r>
        <w:rPr>
          <w:b/>
          <w:sz w:val="21"/>
          <w:shd w:fill="D6E4F0" w:val="clear"/>
        </w:rPr>
        <w:t>教材原句</w:t>
      </w:r>
    </w:p>
    <w:p>
      <w:pPr>
        <w:spacing w:line="360" w:lineRule="auto" w:after="40"/>
        <w:ind w:firstLine="420"/>
      </w:pPr>
      <w:r>
        <w:t>"AI products provide useful information, but AI responses should be verified like any external data."</w:t>
      </w:r>
    </w:p>
    <w:p>
      <w:pPr>
        <w:spacing w:before="120" w:after="40"/>
      </w:pPr>
      <w:r>
        <w:rPr>
          <w:b/>
          <w:sz w:val="21"/>
          <w:shd w:fill="D6E4F0" w:val="clear"/>
        </w:rPr>
        <w:t>B项错误</w:t>
      </w:r>
    </w:p>
    <w:p>
      <w:pPr>
        <w:spacing w:line="360" w:lineRule="auto" w:after="40"/>
        <w:ind w:firstLine="420"/>
      </w:pPr>
      <w:r>
        <w:t>教材强调有效使用 AI 工具需要理解模型如何决策</w:t>
      </w:r>
      <w:r>
        <w:rPr>
          <w:sz w:val="15"/>
          <w:vertAlign w:val="superscript"/>
        </w:rPr>
        <w:t>P448</w:t>
      </w:r>
      <w:r>
        <w:t>，培训不仅应关注规则，也要理解 AI 的执行逻辑与可解释性。相比之下，题干更直接地指向对 AI 输出结果的验证，而非培训内容的侧重。</w:t>
      </w:r>
    </w:p>
    <w:p>
      <w:pPr>
        <w:spacing w:before="120" w:after="40"/>
      </w:pPr>
      <w:r>
        <w:rPr>
          <w:b/>
          <w:sz w:val="21"/>
          <w:shd w:fill="D6E4F0" w:val="clear"/>
        </w:rPr>
        <w:t>C项错误</w:t>
      </w:r>
    </w:p>
    <w:p>
      <w:pPr>
        <w:spacing w:line="360" w:lineRule="auto" w:after="40"/>
        <w:ind w:firstLine="420"/>
      </w:pPr>
      <w:r>
        <w:t>教材明确说明 AI 解决方案在反金融犯罪中并非完美，面临幻觉、测试数据偏差等挑战</w:t>
      </w:r>
      <w:r>
        <w:rPr>
          <w:sz w:val="15"/>
          <w:vertAlign w:val="superscript"/>
        </w:rPr>
        <w:t>P385</w:t>
      </w:r>
      <w:r>
        <w:t>。规则数量众多并不保证结果准确有效，相反，数据验证必须包括完整性和准确性测试</w:t>
      </w:r>
      <w:r>
        <w:rPr>
          <w:sz w:val="15"/>
          <w:vertAlign w:val="superscript"/>
        </w:rPr>
        <w:t>P483</w:t>
      </w:r>
      <w:r>
        <w:t>。题干条件更支持验证而非直接信赖准确性的结论。</w:t>
      </w:r>
    </w:p>
    <w:p>
      <w:pPr>
        <w:spacing w:before="120" w:after="40"/>
      </w:pPr>
      <w:r>
        <w:rPr>
          <w:b/>
          <w:sz w:val="21"/>
          <w:shd w:fill="D6E4F0" w:val="clear"/>
        </w:rPr>
        <w:t>D项错误</w:t>
      </w:r>
    </w:p>
    <w:p>
      <w:pPr>
        <w:spacing w:line="360" w:lineRule="auto" w:after="40"/>
        <w:ind w:firstLine="420"/>
      </w:pPr>
      <w:r>
        <w:t>教材指出训练数据的多样性和强度往往决定 AI 算法的成功，且可通过人在回路训练等方法优化结果</w:t>
      </w:r>
      <w:r>
        <w:rPr>
          <w:sz w:val="15"/>
          <w:vertAlign w:val="superscript"/>
        </w:rPr>
        <w:t>P448</w:t>
      </w:r>
      <w:r>
        <w:t>，可见 AI 可以被训练来识别适用于特定银行的规则。题干并没有提供 AI 无法被训练或效果必然不佳的依据。</w:t>
      </w:r>
    </w:p>
    <w:p>
      <w:pPr>
        <w:spacing w:before="120" w:after="40"/>
      </w:pPr>
      <w:r>
        <w:rPr>
          <w:b/>
          <w:sz w:val="21"/>
          <w:shd w:fill="D6E4F0" w:val="clear"/>
        </w:rPr>
        <w:t>易错提醒</w:t>
      </w:r>
    </w:p>
    <w:p>
      <w:pPr>
        <w:spacing w:line="360" w:lineRule="auto" w:after="40"/>
        <w:ind w:firstLine="420"/>
      </w:pPr>
      <w:r>
        <w:t>误以为 AI 分析大量规则后生成的结果自然准确可靠是常见误区。应牢记 AI 响应像所有外部数据一样，都需要验证其完整性与准确性</w:t>
      </w:r>
      <w:r>
        <w:rPr>
          <w:sz w:val="15"/>
          <w:vertAlign w:val="superscript"/>
        </w:rPr>
        <w:t>P473</w:t>
      </w:r>
      <w:r>
        <w:t>。</w:t>
      </w:r>
    </w:p>
    <w:p>
      <w:pPr>
        <w:spacing w:line="360" w:lineRule="auto" w:after="120"/>
      </w:pPr>
      <w:r/>
    </w:p>
    <w:p>
      <w:pPr>
        <w:spacing w:line="360" w:lineRule="auto" w:after="40"/>
      </w:pPr>
      <w:r>
        <w:t>2. Which external data source is most reliable for verifying beneficial ownership during onboarding? ( )</w:t>
      </w:r>
    </w:p>
    <w:p>
      <w:pPr>
        <w:spacing w:line="360" w:lineRule="auto" w:after="20"/>
        <w:ind w:firstLine="283"/>
      </w:pPr>
      <w:r>
        <w:t>A. Adverse media databases</w:t>
      </w:r>
    </w:p>
    <w:p>
      <w:pPr>
        <w:spacing w:line="360" w:lineRule="auto" w:after="20"/>
        <w:ind w:firstLine="283"/>
      </w:pPr>
      <w:r>
        <w:t>B. Publicly available information on non-government data repositories</w:t>
      </w:r>
    </w:p>
    <w:p>
      <w:pPr>
        <w:spacing w:line="360" w:lineRule="auto" w:after="20"/>
        <w:ind w:firstLine="283"/>
      </w:pPr>
      <w:r>
        <w:t>C. Credit reference agencies</w:t>
      </w:r>
    </w:p>
    <w:p>
      <w:pPr>
        <w:spacing w:line="360" w:lineRule="auto" w:after="20"/>
        <w:ind w:firstLine="283"/>
      </w:pPr>
      <w:r>
        <w:t>D. Beneficial ownership registers available in the country of incorporation of the entity</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区分外部数据源在受益所有权核实上的可靠性层级</w:t>
      </w:r>
    </w:p>
    <w:p>
      <w:pPr>
        <w:spacing w:before="120" w:after="40"/>
      </w:pPr>
      <w:r>
        <w:rPr>
          <w:b/>
          <w:sz w:val="21"/>
          <w:shd w:fill="D6E4F0" w:val="clear"/>
        </w:rPr>
        <w:t>核心解析</w:t>
      </w:r>
    </w:p>
    <w:p>
      <w:pPr>
        <w:spacing w:line="360" w:lineRule="auto" w:after="40"/>
        <w:ind w:firstLine="420"/>
      </w:pPr>
      <w:r>
        <w:t>教材在列举外部数据来源时，将“商业登记与最终受益所有人（UBO）数据库”列为特定客户数据的组成部分</w:t>
      </w:r>
      <w:r>
        <w:rPr>
          <w:sz w:val="15"/>
          <w:vertAlign w:val="superscript"/>
        </w:rPr>
        <w:t>P467</w:t>
      </w:r>
      <w:r>
        <w:t>。受益所有权登记册是由实体注册成立国的官方机构维护的数据库，专门用于记录和披露法律实体的最终受益所有人信息</w:t>
      </w:r>
      <w:r>
        <w:rPr>
          <w:sz w:val="15"/>
          <w:vertAlign w:val="superscript"/>
        </w:rPr>
        <w:t>P182</w:t>
      </w:r>
      <w:r>
        <w:t>。题干要求核实“受益所有权”，这是一项对所有权结构的直接确认，而非对客户行为或声誉的筛查。受益所有权登记册因其正是为此目的而设立，且数据源于官方注册程序，在核实受益所有权这一特定任务上，其直接性和权威性高于其他类型的外部数据源。</w:t>
      </w:r>
    </w:p>
    <w:p>
      <w:pPr>
        <w:spacing w:before="120" w:after="40"/>
      </w:pPr>
      <w:r>
        <w:rPr>
          <w:b/>
          <w:sz w:val="21"/>
          <w:shd w:fill="D6E4F0" w:val="clear"/>
        </w:rPr>
        <w:t>A项错误</w:t>
      </w:r>
    </w:p>
    <w:p>
      <w:pPr>
        <w:spacing w:line="360" w:lineRule="auto" w:after="40"/>
        <w:ind w:firstLine="420"/>
      </w:pPr>
      <w:r>
        <w:t>不良媒体数据库用于识别与金融犯罪风险相关的公开信息，如负面报道、法律诉讼或监管调查</w:t>
      </w:r>
      <w:r>
        <w:rPr>
          <w:sz w:val="15"/>
          <w:vertAlign w:val="superscript"/>
        </w:rPr>
        <w:t>P322</w:t>
      </w:r>
      <w:r>
        <w:t>。简而言之，它回答的是“这个客户有过什么坏事”，而不回答“这个客户真正归谁所有”。在核实受益所有权这一具体目标上，其指向性不如专为披露所有权而设的登记册直接。</w:t>
      </w:r>
    </w:p>
    <w:p>
      <w:pPr>
        <w:spacing w:before="120" w:after="40"/>
      </w:pPr>
      <w:r>
        <w:rPr>
          <w:b/>
          <w:sz w:val="21"/>
          <w:shd w:fill="D6E4F0" w:val="clear"/>
        </w:rPr>
        <w:t>B项错误</w:t>
      </w:r>
    </w:p>
    <w:p>
      <w:pPr>
        <w:spacing w:line="360" w:lineRule="auto" w:after="40"/>
        <w:ind w:firstLine="420"/>
      </w:pPr>
      <w:r>
        <w:t>教材提醒，使用公开可用信息时，必须验证其准确性和可靠性，尤其要防范错误或恶意的信息</w:t>
      </w:r>
      <w:r>
        <w:rPr>
          <w:sz w:val="15"/>
          <w:vertAlign w:val="superscript"/>
        </w:rPr>
        <w:t>P473</w:t>
      </w:r>
      <w:r>
        <w:t>。非政府数据存储库里的公开信息，其来源、更新频率和质量难以保证，更不是一个以核实所有权结构为目标的专门机制。题干问的是“最可靠”的来源，官方登记册在可靠性上显然更有保障。</w:t>
      </w:r>
    </w:p>
    <w:p>
      <w:pPr>
        <w:spacing w:before="120" w:after="40"/>
      </w:pPr>
      <w:r>
        <w:rPr>
          <w:b/>
          <w:sz w:val="21"/>
          <w:shd w:fill="D6E4F0" w:val="clear"/>
        </w:rPr>
        <w:t>C项错误</w:t>
      </w:r>
    </w:p>
    <w:p>
      <w:pPr>
        <w:spacing w:line="360" w:lineRule="auto" w:after="40"/>
        <w:ind w:firstLine="420"/>
      </w:pPr>
      <w:r>
        <w:t>信用咨询机构的核心职能是收集和评估个人或企业的信用状况数据</w:t>
      </w:r>
      <w:r>
        <w:rPr>
          <w:sz w:val="15"/>
          <w:vertAlign w:val="superscript"/>
        </w:rPr>
        <w:t>P263</w:t>
      </w:r>
      <w:r>
        <w:t>，而非追踪和确认法律实体的最终受益所有人。题干未提及任何与信用评估相关的要素，该选项的功能与题干所要求的核实目标不匹配。</w:t>
      </w:r>
    </w:p>
    <w:p>
      <w:pPr>
        <w:spacing w:before="120" w:after="40"/>
      </w:pPr>
      <w:r>
        <w:rPr>
          <w:b/>
          <w:sz w:val="21"/>
          <w:shd w:fill="D6E4F0" w:val="clear"/>
        </w:rPr>
        <w:t>易错提醒</w:t>
      </w:r>
    </w:p>
    <w:p>
      <w:pPr>
        <w:spacing w:line="360" w:lineRule="auto" w:after="40"/>
        <w:ind w:firstLine="420"/>
      </w:pPr>
      <w:r>
        <w:t>核实受益所有权（回答“谁真正拥有这家公司”）与识别负面信息（回答“这家公司或这个人有没有污点”）是两种不同的合规任务，对应不同的外部数据源。前者首选官方受益所有权登记册，后者用不良媒体数据库。二者不能相互替代。</w:t>
      </w:r>
    </w:p>
    <w:p>
      <w:pPr>
        <w:spacing w:line="360" w:lineRule="auto" w:after="120"/>
      </w:pPr>
      <w:r/>
    </w:p>
    <w:p>
      <w:pPr>
        <w:spacing w:line="360" w:lineRule="auto" w:after="40"/>
      </w:pPr>
      <w:r>
        <w:t>3. Which types of external data sources are expected to be used for screening customers as part of customer due diligence (CDD)? (Select Three.) ( )</w:t>
      </w:r>
    </w:p>
    <w:p>
      <w:pPr>
        <w:spacing w:line="360" w:lineRule="auto" w:after="20"/>
        <w:ind w:firstLine="283"/>
      </w:pPr>
      <w:r>
        <w:t>A. Customer feedback and online review platforms</w:t>
      </w:r>
    </w:p>
    <w:p>
      <w:pPr>
        <w:spacing w:line="360" w:lineRule="auto" w:after="20"/>
        <w:ind w:firstLine="283"/>
      </w:pPr>
      <w:r>
        <w:t>B. Social media sources to assess lifestyle and spending patterns</w:t>
      </w:r>
    </w:p>
    <w:p>
      <w:pPr>
        <w:spacing w:line="360" w:lineRule="auto" w:after="20"/>
        <w:ind w:firstLine="283"/>
      </w:pPr>
      <w:r>
        <w:t>C. Sanctions lists, including those issued by the Office of Foreign Assets Control (OFAC)</w:t>
      </w:r>
    </w:p>
    <w:p>
      <w:pPr>
        <w:spacing w:line="360" w:lineRule="auto" w:after="20"/>
        <w:ind w:firstLine="283"/>
      </w:pPr>
      <w:r>
        <w:t>D. Registers of stolen or forged documents (where available)</w:t>
      </w:r>
    </w:p>
    <w:p>
      <w:pPr>
        <w:spacing w:line="360" w:lineRule="auto" w:after="20"/>
        <w:ind w:firstLine="283"/>
      </w:pPr>
      <w:r>
        <w:t>E. Beneficial ownership registers and adverse media sources</w:t>
      </w:r>
    </w:p>
    <w:p>
      <w:pPr>
        <w:spacing w:line="360" w:lineRule="auto" w:after="40"/>
      </w:pPr>
      <w:r>
        <w:t>答案：C、D、E</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 CDD 筛查中两种外部数据源：针对特定客户的数据和针对所有客户的名单</w:t>
      </w:r>
    </w:p>
    <w:p>
      <w:pPr>
        <w:spacing w:before="120" w:after="40"/>
      </w:pPr>
      <w:r>
        <w:rPr>
          <w:b/>
          <w:sz w:val="21"/>
          <w:shd w:fill="D6E4F0" w:val="clear"/>
        </w:rPr>
        <w:t>核心解析</w:t>
      </w:r>
    </w:p>
    <w:p>
      <w:pPr>
        <w:spacing w:line="360" w:lineRule="auto" w:after="40"/>
        <w:ind w:firstLine="420"/>
      </w:pPr>
      <w:r>
        <w:t>教材将 CDD 筛查用的外部数据分为两类：第一类是“针对特定客户的数据”，包括负面媒体、法院裁决、商业登记和 UBO 数据库等</w:t>
      </w:r>
      <w:r>
        <w:rPr>
          <w:sz w:val="15"/>
          <w:vertAlign w:val="superscript"/>
        </w:rPr>
        <w:t>P467</w:t>
      </w:r>
      <w:r>
        <w:t>；第二类是“针对所有客户的筛查名单”，包括制裁名单、恐怖分子名单和 PEP 名单</w:t>
      </w:r>
      <w:r>
        <w:rPr>
          <w:sz w:val="15"/>
          <w:vertAlign w:val="superscript"/>
        </w:rPr>
        <w:t>P467</w:t>
      </w:r>
      <w:r>
        <w:t>。选项 C（制裁名单，含 OFAC）直接落在第二类，选项 E（受益所有权登记册和负面媒体）直接落在第一类。选项 D（被盗或伪造文件登记册）在 P472 被明确列为第三方可提供的外部数据来源之一，属于可用于客户身份核实的外部登记册。三者均在教材对外部数据源的明确列举或分类中。选项 A（客户反馈和在线评价平台）和选项 B（社交媒体用于评估生活方式和消费习惯）均未在 CDD 外部数据源的分类中被提及——社交媒体在教材中出现在调查阶段的 OSINT 工具中</w:t>
      </w:r>
      <w:r>
        <w:rPr>
          <w:sz w:val="15"/>
          <w:vertAlign w:val="superscript"/>
        </w:rPr>
        <w:t>P338</w:t>
      </w:r>
      <w:r>
        <w:t>，但其定位是调查辅助手段而非 CDD 筛查的预期外部数据源，相比之下匹配度明显弱于 C、D、E。</w:t>
      </w:r>
    </w:p>
    <w:p>
      <w:pPr>
        <w:spacing w:before="120" w:after="40"/>
      </w:pPr>
      <w:r>
        <w:rPr>
          <w:b/>
          <w:sz w:val="21"/>
          <w:shd w:fill="D6E4F0" w:val="clear"/>
        </w:rPr>
        <w:t>A项错误</w:t>
      </w:r>
    </w:p>
    <w:p>
      <w:pPr>
        <w:spacing w:line="360" w:lineRule="auto" w:after="40"/>
        <w:ind w:firstLine="420"/>
      </w:pPr>
      <w:r>
        <w:t>题干考查 CDD 筛查场景下的外部数据源。“客户反馈和在线评价平台”不属于教材对外部数据的两类划分中的任何一类，教材中既无此类数据源的举例，题干也未提供任何要素能将“客户评价”纳入 CDD 筛查的预期数据源。相比之下，正确项 C、D、E 均可在 P467 或 P472 找到直接对应。</w:t>
      </w:r>
    </w:p>
    <w:p>
      <w:pPr>
        <w:spacing w:before="120" w:after="40"/>
      </w:pPr>
      <w:r>
        <w:rPr>
          <w:b/>
          <w:sz w:val="21"/>
          <w:shd w:fill="D6E4F0" w:val="clear"/>
        </w:rPr>
        <w:t>B项错误</w:t>
      </w:r>
    </w:p>
    <w:p>
      <w:pPr>
        <w:spacing w:line="360" w:lineRule="auto" w:after="40"/>
        <w:ind w:firstLine="420"/>
      </w:pPr>
      <w:r>
        <w:t>教材在调查阶段的 OSINT 部分提到社交媒体资料可作为提供客户额外背景信息的公开来源</w:t>
      </w:r>
      <w:r>
        <w:rPr>
          <w:sz w:val="15"/>
          <w:vertAlign w:val="superscript"/>
        </w:rPr>
        <w:t>P338</w:t>
      </w:r>
      <w:r>
        <w:t>，但这一定位是调查分析工具而非 CDD 筛查的预期外部数据源。题干所考查的 CDD 筛查场景更直接对应教材在 P467 列出的两种外部数据类型——其中并不包含“用于评估生活方式和消费习惯的社交媒体”。换言之，社交媒体的合规用途在教材中有其位置，但那是在调查阶段，而不是本题所问的 CDD 筛查阶段。</w:t>
      </w:r>
    </w:p>
    <w:p>
      <w:pPr>
        <w:spacing w:before="120" w:after="40"/>
      </w:pPr>
      <w:r>
        <w:rPr>
          <w:b/>
          <w:sz w:val="21"/>
          <w:shd w:fill="D6E4F0" w:val="clear"/>
        </w:rPr>
        <w:t>易错提醒</w:t>
      </w:r>
    </w:p>
    <w:p>
      <w:pPr>
        <w:spacing w:line="360" w:lineRule="auto" w:after="40"/>
        <w:ind w:firstLine="420"/>
      </w:pPr>
      <w:r>
        <w:t>教材在两处提到社交媒体：P338 将其列为调查阶段的 OSINT 来源之一，用于提供客户背景；但在 P467 对 CDD 外部数据源的分类中并未列入社交媒体。这道题的考点是 CDD 筛查阶段，不是调查阶段。两者在教材中分属不同环节，功能不同，不能混用。</w:t>
      </w:r>
    </w:p>
    <w:p>
      <w:pPr>
        <w:spacing w:line="360" w:lineRule="auto" w:after="120"/>
      </w:pPr>
      <w:r/>
    </w:p>
    <w:p>
      <w:pPr>
        <w:spacing w:line="360" w:lineRule="auto" w:after="40"/>
      </w:pPr>
      <w:r>
        <w:t>4. Reference data screening includes the screening of which types of datasets? (Select Two.) ( )</w:t>
      </w:r>
    </w:p>
    <w:p>
      <w:pPr>
        <w:spacing w:line="360" w:lineRule="auto" w:after="20"/>
        <w:ind w:firstLine="283"/>
      </w:pPr>
      <w:r>
        <w:t>A. Types of payment messages</w:t>
      </w:r>
    </w:p>
    <w:p>
      <w:pPr>
        <w:spacing w:line="360" w:lineRule="auto" w:after="20"/>
        <w:ind w:firstLine="283"/>
      </w:pPr>
      <w:r>
        <w:t>B. Customers</w:t>
      </w:r>
    </w:p>
    <w:p>
      <w:pPr>
        <w:spacing w:line="360" w:lineRule="auto" w:after="20"/>
        <w:ind w:firstLine="283"/>
      </w:pPr>
      <w:r>
        <w:t>C. Third-party service providers</w:t>
      </w:r>
    </w:p>
    <w:p>
      <w:pPr>
        <w:spacing w:line="360" w:lineRule="auto" w:after="20"/>
        <w:ind w:firstLine="283"/>
      </w:pPr>
      <w:r>
        <w:t>D. Customer spouses</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区分参考数据筛查与交易筛查的数据对象</w:t>
      </w:r>
    </w:p>
    <w:p>
      <w:pPr>
        <w:spacing w:before="120" w:after="40"/>
      </w:pPr>
      <w:r>
        <w:rPr>
          <w:b/>
          <w:sz w:val="21"/>
          <w:shd w:fill="D6E4F0" w:val="clear"/>
        </w:rPr>
        <w:t>核心解析</w:t>
      </w:r>
    </w:p>
    <w:p>
      <w:pPr>
        <w:spacing w:line="360" w:lineRule="auto" w:after="40"/>
        <w:ind w:firstLine="420"/>
      </w:pPr>
      <w:r>
        <w:t>参考数据筛查所依赖的内部数据主要来自客户的 KYC 及其他开户详细信息</w:t>
      </w:r>
      <w:r>
        <w:rPr>
          <w:sz w:val="15"/>
          <w:vertAlign w:val="superscript"/>
        </w:rPr>
        <w:t>P466</w:t>
      </w:r>
      <w:r>
        <w:t>。这些数据的主体不仅包括客户本身，在筛查实践中还需覆盖公司客户的多名受益所有人及相关方</w:t>
      </w:r>
      <w:r>
        <w:rPr>
          <w:sz w:val="15"/>
          <w:vertAlign w:val="superscript"/>
        </w:rPr>
        <w:t>P321</w:t>
      </w:r>
      <w:r>
        <w:t>。题干问的是“参考数据筛选包括对哪些类型的数据库进行筛选”，这里的筛选对象应该是内部数据涉及的自然人或实体。选项 B“客户”直接对应内部数据的核心来源，选项 D“客户配偶”作为客户关联方，属于 P321 提到的筛查范围。因此，B 和 D 是参考数据筛查涵盖的数据库类型。选项 A 涉及的是支付消息，属于交易筛查环节的结构化数据，并非参考数据；选项 C 第三方服务提供商属于外部数据提供者</w:t>
      </w:r>
      <w:r>
        <w:rPr>
          <w:sz w:val="15"/>
          <w:vertAlign w:val="superscript"/>
        </w:rPr>
        <w:t>P472</w:t>
      </w:r>
      <w:r>
        <w:t>，不是被筛查的数据库主体。</w:t>
      </w:r>
    </w:p>
    <w:p>
      <w:pPr>
        <w:spacing w:before="120" w:after="40"/>
      </w:pPr>
      <w:r>
        <w:rPr>
          <w:b/>
          <w:sz w:val="21"/>
          <w:shd w:fill="D6E4F0" w:val="clear"/>
        </w:rPr>
        <w:t>教材原句</w:t>
      </w:r>
    </w:p>
    <w:p>
      <w:pPr>
        <w:spacing w:line="360" w:lineRule="auto" w:after="40"/>
        <w:ind w:firstLine="420"/>
      </w:pPr>
      <w:r>
        <w:t>"Organizations obtain internal data from customer KYC and other onboarding details."</w:t>
      </w:r>
    </w:p>
    <w:p>
      <w:pPr>
        <w:spacing w:before="120" w:after="40"/>
      </w:pPr>
      <w:r>
        <w:rPr>
          <w:b/>
          <w:sz w:val="21"/>
          <w:shd w:fill="D6E4F0" w:val="clear"/>
        </w:rPr>
        <w:t>A项错误</w:t>
      </w:r>
    </w:p>
    <w:p>
      <w:pPr>
        <w:spacing w:line="360" w:lineRule="auto" w:after="40"/>
        <w:ind w:firstLine="420"/>
      </w:pPr>
      <w:r>
        <w:t>支付消息的类型描述的是交易中携带的结构化数据字段</w:t>
      </w:r>
      <w:r>
        <w:rPr>
          <w:sz w:val="15"/>
          <w:vertAlign w:val="superscript"/>
        </w:rPr>
        <w:t>P317</w:t>
      </w:r>
      <w:r>
        <w:t>，属于支付筛查或交易监控所处理的数据，而非参考数据筛查所依据的客户静态信息。因此在教材框架下，A 项更接近交易筛查的对象，匹配度低于以客户为主体的 B 和 D。</w:t>
      </w:r>
    </w:p>
    <w:p>
      <w:pPr>
        <w:spacing w:before="120" w:after="40"/>
      </w:pPr>
      <w:r>
        <w:rPr>
          <w:b/>
          <w:sz w:val="21"/>
          <w:shd w:fill="D6E4F0" w:val="clear"/>
        </w:rPr>
        <w:t>C项错误</w:t>
      </w:r>
    </w:p>
    <w:p>
      <w:pPr>
        <w:spacing w:line="360" w:lineRule="auto" w:after="40"/>
        <w:ind w:firstLine="420"/>
      </w:pPr>
      <w:r>
        <w:t>第三方服务提供商在教材中作为外部数据的来源出现</w:t>
      </w:r>
      <w:r>
        <w:rPr>
          <w:sz w:val="15"/>
          <w:vertAlign w:val="superscript"/>
        </w:rPr>
        <w:t>P472</w:t>
      </w:r>
      <w:r>
        <w:t>，例如提供筛查名单或注册信息，本身不是被筛查的数据库内容。题干未提供将第三方自身作为筛查对象的依据，因此与参考数据筛查的匹配度不如客户及其关联方。</w:t>
      </w:r>
    </w:p>
    <w:p>
      <w:pPr>
        <w:spacing w:before="120" w:after="40"/>
      </w:pPr>
      <w:r>
        <w:rPr>
          <w:b/>
          <w:sz w:val="21"/>
          <w:shd w:fill="D6E4F0" w:val="clear"/>
        </w:rPr>
        <w:t>易错提醒</w:t>
      </w:r>
    </w:p>
    <w:p>
      <w:pPr>
        <w:spacing w:line="360" w:lineRule="auto" w:after="40"/>
        <w:ind w:firstLine="420"/>
      </w:pPr>
      <w:r>
        <w:t>参考数据筛查针对客户及其关联方的静态信息（如姓名、身份），而支付筛查处理的是实时交易中的结构化消息字段。一道题同时出现“客户”和“支付消息的类型”时，通过筛查的时点和数据来源区分：前者依托开户时收集的内部数据，后者发生在交易过程中。</w:t>
      </w:r>
    </w:p>
    <w:p>
      <w:pPr>
        <w:spacing w:line="360" w:lineRule="auto" w:after="120"/>
      </w:pPr>
      <w:r/>
    </w:p>
    <w:p>
      <w:pPr>
        <w:spacing w:line="360" w:lineRule="auto" w:after="40"/>
      </w:pPr>
      <w:r>
        <w:t>5. Which techniques would be most efficient for a complex investigation of unusual patterns of activity involving multiple businesses, triggered by an automated monitoring system alert? (Select Two.) ( )</w:t>
      </w:r>
    </w:p>
    <w:p>
      <w:pPr>
        <w:spacing w:line="360" w:lineRule="auto" w:after="20"/>
        <w:ind w:firstLine="283"/>
      </w:pPr>
      <w:r>
        <w:t>A. Perform a control and ownership assessment of the businesses involved, using information available in the client files</w:t>
      </w:r>
    </w:p>
    <w:p>
      <w:pPr>
        <w:spacing w:line="360" w:lineRule="auto" w:after="20"/>
        <w:ind w:firstLine="283"/>
      </w:pPr>
      <w:r>
        <w:t>B. Contact local law enforcement and request that they assist in the analysis and investigation</w:t>
      </w:r>
    </w:p>
    <w:p>
      <w:pPr>
        <w:spacing w:line="360" w:lineRule="auto" w:after="20"/>
        <w:ind w:firstLine="283"/>
      </w:pPr>
      <w:r>
        <w:t>C. Review the information presented in the automated monitoring system's alert description and decline any future transactions</w:t>
      </w:r>
    </w:p>
    <w:p>
      <w:pPr>
        <w:spacing w:line="360" w:lineRule="auto" w:after="20"/>
        <w:ind w:firstLine="283"/>
      </w:pPr>
      <w:r>
        <w:t>D. Contact the relationship manager and ask about the reasons behind the activity pattern highlighted in the AML alert</w:t>
      </w:r>
    </w:p>
    <w:p>
      <w:pPr>
        <w:spacing w:line="360" w:lineRule="auto" w:after="20"/>
        <w:ind w:firstLine="283"/>
      </w:pPr>
      <w:r>
        <w:t>E. Use social media platforms to contact the relevant businesses and request details of account activity</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复杂调查中内部信息利用与人际核查的高效性判断</w:t>
      </w:r>
    </w:p>
    <w:p>
      <w:pPr>
        <w:spacing w:before="120" w:after="40"/>
      </w:pPr>
      <w:r>
        <w:rPr>
          <w:b/>
          <w:sz w:val="21"/>
          <w:shd w:fill="D6E4F0" w:val="clear"/>
        </w:rPr>
        <w:t>核心解析</w:t>
      </w:r>
    </w:p>
    <w:p>
      <w:pPr>
        <w:spacing w:line="360" w:lineRule="auto" w:after="40"/>
        <w:ind w:firstLine="420"/>
      </w:pPr>
      <w:r>
        <w:t>在由自动化监控系统警报触发的调查中，教材将调查流程分为多个层级：一级审查阶段，分析师通过评估警报性质、交易类型、客户资料、账户历史等数据点检查警报有效性</w:t>
      </w:r>
      <w:r>
        <w:rPr>
          <w:sz w:val="15"/>
          <w:vertAlign w:val="superscript"/>
        </w:rPr>
        <w:t>P334</w:t>
      </w:r>
      <w:r>
        <w:t>；当活动异常时警报升级至二级审查（调查阶段），此时需收集额外记录，如客户与机构的沟通记录及既往调查信息，并开展包括社交媒体、新闻、公共记录在内的开源研究</w:t>
      </w:r>
      <w:r>
        <w:rPr>
          <w:sz w:val="15"/>
          <w:vertAlign w:val="superscript"/>
        </w:rPr>
        <w:t>P334</w:t>
      </w:r>
      <w:r>
        <w:t>，但这是对公开信息的单向收集，而非通过社交媒体直接向企业索要账户活动详情。同时，控制权和所有权在反洗钱工作中至关重要，常被模糊或隐藏以掩饰犯罪活动</w:t>
      </w:r>
      <w:r>
        <w:rPr>
          <w:sz w:val="15"/>
          <w:vertAlign w:val="superscript"/>
        </w:rPr>
        <w:t>P59</w:t>
      </w:r>
      <w:r>
        <w:t>。对于涉及多家企业的异常活动模式，最直接高效的方法是一方面利用现有内部档案评估企业间的控制权与所有权关系，另一方面联系客户经理——教材案例明确指出，当调查员发现客户交易模式与预期行为不符时，会标记并触发关系经理审查</w:t>
      </w:r>
      <w:r>
        <w:rPr>
          <w:sz w:val="15"/>
          <w:vertAlign w:val="superscript"/>
        </w:rPr>
        <w:t>P468</w:t>
      </w:r>
      <w:r>
        <w:t>，关系经理作为内部观察数据的来源之一</w:t>
      </w:r>
      <w:r>
        <w:rPr>
          <w:sz w:val="15"/>
          <w:vertAlign w:val="superscript"/>
        </w:rPr>
        <w:t>P468</w:t>
      </w:r>
      <w:r>
        <w:t>，能直接解释活动模式背后的商业原因。这两项均利用机构内部既有资源和人员，无需外部协调或等待，在复杂调查的初期阶段效率最高。</w:t>
      </w:r>
    </w:p>
    <w:p>
      <w:pPr>
        <w:spacing w:before="120" w:after="40"/>
      </w:pPr>
      <w:r>
        <w:rPr>
          <w:b/>
          <w:sz w:val="21"/>
          <w:shd w:fill="D6E4F0" w:val="clear"/>
        </w:rPr>
        <w:t>B项错误</w:t>
      </w:r>
    </w:p>
    <w:p>
      <w:pPr>
        <w:spacing w:line="360" w:lineRule="auto" w:after="40"/>
        <w:ind w:firstLine="420"/>
      </w:pPr>
      <w:r>
        <w:t>教材虽提及组织在调查期间可寻求执法部门指导或支持</w:t>
      </w:r>
      <w:r>
        <w:rPr>
          <w:sz w:val="15"/>
          <w:vertAlign w:val="superscript"/>
        </w:rPr>
        <w:t>P361</w:t>
      </w:r>
      <w:r>
        <w:t>，但执法部门的互动更多发生在完成组织调查后的案件移交阶段</w:t>
      </w:r>
      <w:r>
        <w:rPr>
          <w:sz w:val="15"/>
          <w:vertAlign w:val="superscript"/>
        </w:rPr>
        <w:t>P361</w:t>
      </w:r>
      <w:r>
        <w:t>。在警报触发的调查初期，题干未提及已确认犯罪行为或达到移交标准，先利用内部资源和人员获取信息比请求外部执法力量介入更直接、更匹配教材对调查流程的初始步骤描述。</w:t>
      </w:r>
    </w:p>
    <w:p>
      <w:pPr>
        <w:spacing w:before="120" w:after="40"/>
      </w:pPr>
      <w:r>
        <w:rPr>
          <w:b/>
          <w:sz w:val="21"/>
          <w:shd w:fill="D6E4F0" w:val="clear"/>
        </w:rPr>
        <w:t>C项错误</w:t>
      </w:r>
    </w:p>
    <w:p>
      <w:pPr>
        <w:spacing w:line="360" w:lineRule="auto" w:after="40"/>
        <w:ind w:firstLine="420"/>
      </w:pPr>
      <w:r>
        <w:t>仅查看警报描述中的信息随后便拒绝未来交易，跳过了教材规定的一级和二级审查中的信息收集与分析步骤</w:t>
      </w:r>
      <w:r>
        <w:rPr>
          <w:sz w:val="15"/>
          <w:vertAlign w:val="superscript"/>
        </w:rPr>
        <w:t>P334</w:t>
      </w:r>
      <w:r>
        <w:t>，未对活动模式进行实质调查即采取行动。在复杂调查场景中，这种做法忽略了客户经理反馈、控制权评估等多种信息渠道，远不如正确项所代表的调查深化路径全面。</w:t>
      </w:r>
    </w:p>
    <w:p>
      <w:pPr>
        <w:spacing w:before="120" w:after="40"/>
      </w:pPr>
      <w:r>
        <w:rPr>
          <w:b/>
          <w:sz w:val="21"/>
          <w:shd w:fill="D6E4F0" w:val="clear"/>
        </w:rPr>
        <w:t>E项错误</w:t>
      </w:r>
    </w:p>
    <w:p>
      <w:pPr>
        <w:spacing w:line="360" w:lineRule="auto" w:after="40"/>
        <w:ind w:firstLine="420"/>
      </w:pPr>
      <w:r>
        <w:t>教材将社交媒体资料列为开源研究的外部信息来源之一，可提供客户或相关方的额外背景信息</w:t>
      </w:r>
      <w:r>
        <w:rPr>
          <w:sz w:val="15"/>
          <w:vertAlign w:val="superscript"/>
        </w:rPr>
        <w:t>P338</w:t>
      </w:r>
      <w:r>
        <w:t>，但“利用社交媒体平台与相关企业取得联系并请求提供账户活动详细信息”是将社交媒体用作直接沟通和索要敏感信息的渠道，而非教材描述的被动式背景信息收集。主动联系被调查企业索要账户信息可能构成泄密风险（tipping off），且不如通过内部客户经理渠道获取解释更符合反洗钱调查的保密原则和既有流程。</w:t>
      </w:r>
    </w:p>
    <w:p>
      <w:pPr>
        <w:spacing w:before="120" w:after="40"/>
      </w:pPr>
      <w:r>
        <w:rPr>
          <w:b/>
          <w:sz w:val="21"/>
          <w:shd w:fill="D6E4F0" w:val="clear"/>
        </w:rPr>
        <w:t>易错提醒</w:t>
      </w:r>
    </w:p>
    <w:p>
      <w:pPr>
        <w:spacing w:line="360" w:lineRule="auto" w:after="40"/>
        <w:ind w:firstLine="420"/>
      </w:pPr>
      <w:r>
        <w:t>社交媒体在调查中的角色是“开源研究”——单向收集公开背景信息（如新闻、公共记录、社交媒体公开资料，P334、P338），而非作为双向沟通渠道直接向被调查企业索要账户信息。前者是合规调查步骤，后者不仅有泄密风险，还缺乏教材框架下的流程支撑。</w:t>
      </w:r>
    </w:p>
    <w:p>
      <w:pPr>
        <w:spacing w:line="360" w:lineRule="auto" w:after="120"/>
      </w:pPr>
      <w:r/>
    </w:p>
    <w:p>
      <w:pPr>
        <w:spacing w:line="360" w:lineRule="auto" w:after="40"/>
      </w:pPr>
      <w:r>
        <w:t>6. Which of the following are limitations of using search engines to screen adverse media? (Select Three.) ( )</w:t>
      </w:r>
    </w:p>
    <w:p>
      <w:pPr>
        <w:spacing w:line="360" w:lineRule="auto" w:after="20"/>
        <w:ind w:firstLine="283"/>
      </w:pPr>
      <w:r>
        <w:t>A. Search engines have limited global language coverage</w:t>
      </w:r>
    </w:p>
    <w:p>
      <w:pPr>
        <w:spacing w:line="360" w:lineRule="auto" w:after="20"/>
        <w:ind w:firstLine="283"/>
      </w:pPr>
      <w:r>
        <w:t>B. Search engines provide unstructured data that complicates media analysis</w:t>
      </w:r>
    </w:p>
    <w:p>
      <w:pPr>
        <w:spacing w:line="360" w:lineRule="auto" w:after="20"/>
        <w:ind w:firstLine="283"/>
      </w:pPr>
      <w:r>
        <w:t>C. Search results are often inefficient in identifying relevant adverse media</w:t>
      </w:r>
    </w:p>
    <w:p>
      <w:pPr>
        <w:spacing w:line="360" w:lineRule="auto" w:after="20"/>
        <w:ind w:firstLine="283"/>
      </w:pPr>
      <w:r>
        <w:t>D. The process is time-consuming and requires significant manual effort</w:t>
      </w:r>
    </w:p>
    <w:p>
      <w:pPr>
        <w:spacing w:line="360" w:lineRule="auto" w:after="20"/>
        <w:ind w:firstLine="283"/>
      </w:pPr>
      <w:r>
        <w:t>E. Outcomes can be inconsistent due to varying search engine algorithms</w:t>
      </w:r>
    </w:p>
    <w:p>
      <w:pPr>
        <w:spacing w:line="360" w:lineRule="auto" w:after="40"/>
      </w:pPr>
      <w:r>
        <w:t>答案：B、C、D</w:t>
      </w:r>
    </w:p>
    <w:p>
      <w:pPr>
        <w:spacing w:line="360" w:lineRule="auto" w:after="40"/>
      </w:pPr>
      <w:r>
        <w:t>解析：</w:t>
      </w:r>
    </w:p>
    <w:p>
      <w:pPr>
        <w:spacing w:before="120" w:after="40"/>
      </w:pPr>
      <w:r>
        <w:rPr>
          <w:b/>
          <w:sz w:val="21"/>
          <w:shd w:fill="D6E4F0" w:val="clear"/>
        </w:rPr>
        <w:t>考点</w:t>
      </w:r>
    </w:p>
    <w:p>
      <w:pPr>
        <w:spacing w:line="360" w:lineRule="auto" w:after="40"/>
        <w:ind w:firstLine="420"/>
      </w:pPr>
      <w:r>
        <w:t>搜索引擎在负面媒体筛查中的非结构化数据、效率与人工耗时局限</w:t>
      </w:r>
    </w:p>
    <w:p>
      <w:pPr>
        <w:spacing w:before="120" w:after="40"/>
      </w:pPr>
      <w:r>
        <w:rPr>
          <w:b/>
          <w:sz w:val="21"/>
          <w:shd w:fill="D6E4F0" w:val="clear"/>
        </w:rPr>
        <w:t>核心解析</w:t>
      </w:r>
    </w:p>
    <w:p>
      <w:pPr>
        <w:spacing w:line="360" w:lineRule="auto" w:after="40"/>
        <w:ind w:firstLine="420"/>
      </w:pPr>
      <w:r>
        <w:t>负面媒体筛查常依赖外部数据，外部数据来源多样，可能非结构化或与合规系统不兼容</w:t>
      </w:r>
      <w:r>
        <w:rPr>
          <w:sz w:val="15"/>
          <w:vertAlign w:val="superscript"/>
        </w:rPr>
        <w:t>P467</w:t>
      </w:r>
      <w:r>
        <w:t>。非结构化数据是指非固定格式的数据，如自由文本，需要额外处理才能转换为可用格式</w:t>
      </w:r>
      <w:r>
        <w:rPr>
          <w:sz w:val="15"/>
          <w:vertAlign w:val="superscript"/>
        </w:rPr>
        <w:t>P467</w:t>
      </w:r>
      <w:r>
        <w:t>。负面媒体筛查系统需调优关键词和短语以过滤无关信息，否则搜索结果往往效率低下，难以有效识别相关负面媒体报道</w:t>
      </w:r>
      <w:r>
        <w:rPr>
          <w:sz w:val="15"/>
          <w:vertAlign w:val="superscript"/>
        </w:rPr>
        <w:t>P422</w:t>
      </w:r>
      <w:r>
        <w:t>。此外，人工检查此类数据耗时且劳动密集</w:t>
      </w:r>
      <w:r>
        <w:rPr>
          <w:sz w:val="15"/>
          <w:vertAlign w:val="superscript"/>
        </w:rPr>
        <w:t>P330</w:t>
      </w:r>
      <w:r>
        <w:t>，自然语言处理算法之所以被引入，正是为了减少人工筛查的工作量</w:t>
      </w:r>
      <w:r>
        <w:rPr>
          <w:sz w:val="15"/>
          <w:vertAlign w:val="superscript"/>
        </w:rPr>
        <w:t>P417</w:t>
      </w:r>
      <w:r>
        <w:t>。题干所问的“使用搜索引擎进行负面媒体报道搜索的局限性”，恰好落在这三个教材明确指出的问题上：搜索引擎返回的是非结构化网页内容，使分析复杂化；不加调优的搜索结果包含大量无关信息，识别效率低；逐个查看结果需要大量人工投入，过程耗时。</w:t>
      </w:r>
    </w:p>
    <w:p>
      <w:pPr>
        <w:spacing w:before="120" w:after="40"/>
      </w:pPr>
      <w:r>
        <w:rPr>
          <w:b/>
          <w:sz w:val="21"/>
          <w:shd w:fill="D6E4F0" w:val="clear"/>
        </w:rPr>
        <w:t>教材原句</w:t>
      </w:r>
    </w:p>
    <w:p>
      <w:pPr>
        <w:spacing w:line="360" w:lineRule="auto" w:after="40"/>
        <w:ind w:firstLine="420"/>
      </w:pPr>
      <w:r>
        <w:t>"External data originates from many diverse sources, which might make it unstructured or incompatible with compliance systems."</w:t>
      </w:r>
    </w:p>
    <w:p>
      <w:pPr>
        <w:spacing w:before="120" w:after="40"/>
      </w:pPr>
      <w:r>
        <w:rPr>
          <w:b/>
          <w:sz w:val="21"/>
          <w:shd w:fill="D6E4F0" w:val="clear"/>
        </w:rPr>
        <w:t>A项错误</w:t>
      </w:r>
    </w:p>
    <w:p>
      <w:pPr>
        <w:spacing w:line="360" w:lineRule="auto" w:after="40"/>
        <w:ind w:firstLine="420"/>
      </w:pPr>
      <w:r>
        <w:t>教材提到跨司法管辖区和语言边界使数据处理更复杂</w:t>
      </w:r>
      <w:r>
        <w:rPr>
          <w:sz w:val="15"/>
          <w:vertAlign w:val="superscript"/>
        </w:rPr>
        <w:t>P470</w:t>
      </w:r>
      <w:r>
        <w:t>，以及筛查系统存在无法一致处理不同语言的情况</w:t>
      </w:r>
      <w:r>
        <w:rPr>
          <w:sz w:val="15"/>
          <w:vertAlign w:val="superscript"/>
        </w:rPr>
        <w:t>P429</w:t>
      </w:r>
      <w:r>
        <w:t>，但这些讨论针对的是数据和系统整体，并非专门将语言覆盖列为搜索引擎进行负面媒体搜索的局限性。相比之下，教材更直接地将搜索引擎的局限归结为非结构化数据、效率与人工投入，题干更支持 B、C、D 而非 A。</w:t>
      </w:r>
    </w:p>
    <w:p>
      <w:pPr>
        <w:spacing w:before="120" w:after="40"/>
      </w:pPr>
      <w:r>
        <w:rPr>
          <w:b/>
          <w:sz w:val="21"/>
          <w:shd w:fill="D6E4F0" w:val="clear"/>
        </w:rPr>
        <w:t>E项错误</w:t>
      </w:r>
    </w:p>
    <w:p>
      <w:pPr>
        <w:spacing w:line="360" w:lineRule="auto" w:after="40"/>
        <w:ind w:firstLine="420"/>
      </w:pPr>
      <w:r>
        <w:t>教材在数据情景中讨论不一致时，提及的是客户关联不同部门导致的数据不一致</w:t>
      </w:r>
      <w:r>
        <w:rPr>
          <w:sz w:val="15"/>
          <w:vertAlign w:val="superscript"/>
        </w:rPr>
        <w:t>P468</w:t>
      </w:r>
      <w:r>
        <w:t>或不同区块链浏览器对同一交易显示不同信息</w:t>
      </w:r>
      <w:r>
        <w:rPr>
          <w:sz w:val="15"/>
          <w:vertAlign w:val="superscript"/>
        </w:rPr>
        <w:t>P486</w:t>
      </w:r>
      <w:r>
        <w:t>，并未将搜索引擎算法差异列为负面媒体筛查的局限性。在教材框架下，缺乏对这一点的直接阐述，因此 E 不如正确项有依据。</w:t>
      </w:r>
    </w:p>
    <w:p>
      <w:pPr>
        <w:spacing w:before="120" w:after="40"/>
      </w:pPr>
      <w:r>
        <w:rPr>
          <w:b/>
          <w:sz w:val="21"/>
          <w:shd w:fill="D6E4F0" w:val="clear"/>
        </w:rPr>
        <w:t>易错提醒</w:t>
      </w:r>
    </w:p>
    <w:p>
      <w:pPr>
        <w:spacing w:line="360" w:lineRule="auto" w:after="40"/>
        <w:ind w:firstLine="420"/>
      </w:pPr>
      <w:r>
        <w:t>教材对使用搜索引擎进行负面媒体筛查的局限性，重点强调的是非结构化数据带来的复杂性、搜索结果效率低下以及人工耗时，而非全球语言覆盖范围或算法一致性。语言处理和算法差异在教材其他部分提及，但并不属于负面媒体搜索的核心局限范畴。</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