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CH16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When applying new technologies to AML, application programming interfaces (APIs) allow for: ( )</w:t>
      </w:r>
    </w:p>
    <w:p>
      <w:pPr>
        <w:spacing w:line="360" w:lineRule="auto" w:after="20"/>
        <w:ind w:firstLine="283"/>
      </w:pPr>
      <w:r>
        <w:t>A. Digital identification on mobile devices</w:t>
      </w:r>
    </w:p>
    <w:p>
      <w:pPr>
        <w:spacing w:line="360" w:lineRule="auto" w:after="20"/>
        <w:ind w:firstLine="283"/>
      </w:pPr>
      <w:r>
        <w:t>B. Different applications to connect and communicate</w:t>
      </w:r>
    </w:p>
    <w:p>
      <w:pPr>
        <w:spacing w:line="360" w:lineRule="auto" w:after="20"/>
        <w:ind w:firstLine="283"/>
      </w:pPr>
      <w:r>
        <w:t>C. Authentication via artificial intelligence (AI) and biometrics</w:t>
      </w:r>
    </w:p>
    <w:p>
      <w:pPr>
        <w:spacing w:line="360" w:lineRule="auto" w:after="20"/>
        <w:ind w:firstLine="283"/>
      </w:pPr>
      <w:r>
        <w:t>D. Quick CDD and client traits analysis during onboarding</w:t>
      </w:r>
    </w:p>
    <w:p>
      <w:pPr>
        <w:spacing w:line="360" w:lineRule="auto" w:after="40"/>
      </w:pPr>
      <w:r>
        <w:t>答案：B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区分API的核心连接功能与以API为支撑的上层应用功能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API的核心定义是支持不同应用程序之间的连接与通信，实现自动数据检索而无需人工干预</w:t>
      </w:r>
      <w:r>
        <w:rPr>
          <w:sz w:val="15"/>
          <w:vertAlign w:val="superscript"/>
        </w:rPr>
        <w:t>P480</w:t>
      </w:r>
      <w:r>
        <w:t>。教材明确指出，API能够从数据库、云服务或第三方应用等来源自动检索数据</w:t>
      </w:r>
      <w:r>
        <w:rPr>
          <w:sz w:val="15"/>
          <w:vertAlign w:val="superscript"/>
        </w:rPr>
        <w:t>P480</w:t>
      </w:r>
      <w:r>
        <w:t>，其收集方法包括API调用</w:t>
      </w:r>
      <w:r>
        <w:rPr>
          <w:sz w:val="15"/>
          <w:vertAlign w:val="superscript"/>
        </w:rPr>
        <w:t>P476</w:t>
      </w:r>
      <w:r>
        <w:t>，并强调筛查系统应具备API集成能力以实现与其他系统的兼容</w:t>
      </w:r>
      <w:r>
        <w:rPr>
          <w:sz w:val="15"/>
          <w:vertAlign w:val="superscript"/>
        </w:rPr>
        <w:t>P424</w:t>
      </w:r>
      <w:r>
        <w:t>。题干问的是API“本身”能够实现什么——这指向API最基础、最底层的功能：让不同的应用程序相互连接并交换数据。选项B“不同的应用程序用于连接和通信”直接吻合这一定义。相比之下，A、C、D描述的都是金融犯罪合规场景中“基于API所实现的上层业务功能”——API负责在底层把数据从A系统传给B系统，但人类身份验证、客户细分、风险特征分析这些具体业务逻辑，是由调用API的上层应用程序完成的，而非API本身的功能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"API enables automated retrieval of data from various sources, such as databases, cloud services, or third-party applications, without manual intervention."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选项A描述的是移动设备上的数字身份识别，教材在讨论数字身份时将其定位为KYC和准入流程中的验证手段</w:t>
      </w:r>
      <w:r>
        <w:rPr>
          <w:sz w:val="15"/>
          <w:vertAlign w:val="superscript"/>
        </w:rPr>
        <w:t>P374、P408</w:t>
      </w:r>
      <w:r>
        <w:t>，这一功能的实现可能依赖API在底层传输数据，但其本身属于上层验证业务，不如选项B更直接匹配API作为连接层的核心定义。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</w:t>
      </w:r>
    </w:p>
    <w:p>
      <w:pPr>
        <w:spacing w:line="360" w:lineRule="auto" w:after="40"/>
        <w:ind w:firstLine="420"/>
      </w:pPr>
      <w:r>
        <w:t>教材确将AI与生物识别列入金融机构用于KYC流程的技术手段</w:t>
      </w:r>
      <w:r>
        <w:rPr>
          <w:sz w:val="15"/>
          <w:vertAlign w:val="superscript"/>
        </w:rPr>
        <w:t>P374、P408</w:t>
      </w:r>
      <w:r>
        <w:t>，但这两者是通过算法完成身份核验的具体工具，API是它们获取数据所需的底层连接通道。教材对API的定义聚焦于连接与通信</w:t>
      </w:r>
      <w:r>
        <w:rPr>
          <w:sz w:val="15"/>
          <w:vertAlign w:val="superscript"/>
        </w:rPr>
        <w:t>P480</w:t>
      </w:r>
      <w:r>
        <w:t>，而非生物识别身份验证本身，题干条件更直接指向B而非C。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题干未提及API与客户细分或特征分析之间有教材定义层的直接对应关系。教材将客户准入期间的尽职调查描述为包含KYC、身份验证、筛查和风险评估的流程</w:t>
      </w:r>
      <w:r>
        <w:rPr>
          <w:sz w:val="15"/>
          <w:vertAlign w:val="superscript"/>
        </w:rPr>
        <w:t>P374</w:t>
      </w:r>
      <w:r>
        <w:t>，这些是上层业务环节，可能调用API获取数据，但API本身不直接“实现”客户细分这一业务逻辑。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API是底层技术（负责连接和数据传输），而数字身份识别、AI生物识别验证、客户细分是上层业务功能（通过API获取数据后，由具体应用程序完成）。考题常把“依赖API的上层功能”包装成“API本身的功能”来制造干扰。判断关键是问自己：这个选项描述的是“让系统之间传数据”还是“传完数据之后拿数据做了什么”？前者是API，后者不是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Benefits of using artificial intelligence (AI) in conjunction with, or in place of, traditional rules-based transaction monitoring include that AI can: (Select Two.) ( )</w:t>
      </w:r>
    </w:p>
    <w:p>
      <w:pPr>
        <w:spacing w:line="360" w:lineRule="auto" w:after="20"/>
        <w:ind w:firstLine="283"/>
      </w:pPr>
      <w:r>
        <w:t>A. Increase the number of false positive alerts</w:t>
      </w:r>
    </w:p>
    <w:p>
      <w:pPr>
        <w:spacing w:line="360" w:lineRule="auto" w:after="20"/>
        <w:ind w:firstLine="283"/>
      </w:pPr>
      <w:r>
        <w:t>B. Create unbiased scenarios during the machine training phase</w:t>
      </w:r>
    </w:p>
    <w:p>
      <w:pPr>
        <w:spacing w:line="360" w:lineRule="auto" w:after="20"/>
        <w:ind w:firstLine="283"/>
      </w:pPr>
      <w:r>
        <w:t>C. Identify changes in customer behavior to more accurately assess risk</w:t>
      </w:r>
    </w:p>
    <w:p>
      <w:pPr>
        <w:spacing w:line="360" w:lineRule="auto" w:after="20"/>
        <w:ind w:firstLine="283"/>
      </w:pPr>
      <w:r>
        <w:t>D. Generate customer risk scores to predict potential financial crime activity</w:t>
      </w:r>
    </w:p>
    <w:p>
      <w:pPr>
        <w:spacing w:line="360" w:lineRule="auto" w:after="40"/>
      </w:pPr>
      <w:r>
        <w:t>答案：C、D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AI交易监控相对传统规则系统的动态分析与预测优势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教材指出，AI驱动的交易监控能从静态规则演进到分析客户行为与上下文，通过比较当前交易与历史模式、同行活动及外部数据集来识别异常</w:t>
      </w:r>
      <w:r>
        <w:rPr>
          <w:sz w:val="15"/>
          <w:vertAlign w:val="superscript"/>
        </w:rPr>
        <w:t>P439</w:t>
      </w:r>
      <w:r>
        <w:t>。同时，AI可基于交易异常、历史行为和外部风险指标计算客户风险评分，生成如平均交易规模等属性，进而预测潜在的金融犯罪活动</w:t>
      </w:r>
      <w:r>
        <w:rPr>
          <w:sz w:val="15"/>
          <w:vertAlign w:val="superscript"/>
        </w:rPr>
        <w:t>P478</w:t>
      </w:r>
      <w:r>
        <w:t>。题干问AI相比传统规则监控的优势，选项C“识别客户行为的变化以更准确评估风险”直接对应动态行为分析能力，选项D“生成客户风险评分以预测潜在金融犯罪活动”对应风险评分与预测功能。二者在教材中均有直接证据，且集中体现了AI超越传统静态规则的预测性优势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"Magnify Bank calculates the customer risk scores based on transaction anomalies, historical behaviors, and external risk indicators."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教材反复强调AI通过机器学习与模糊逻辑减少误报</w:t>
      </w:r>
      <w:r>
        <w:rPr>
          <w:sz w:val="15"/>
          <w:vertAlign w:val="superscript"/>
        </w:rPr>
        <w:t>P432、P426、P427</w:t>
      </w:r>
      <w:r>
        <w:t>，与其优势方向相反，题干更支持AI降低而非增加误报。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教材要求AI模型无偏，但这依赖治理委员会监督与数据集设计</w:t>
      </w:r>
      <w:r>
        <w:rPr>
          <w:sz w:val="15"/>
          <w:vertAlign w:val="superscript"/>
        </w:rPr>
        <w:t>P449</w:t>
      </w:r>
      <w:r>
        <w:t>，训练阶段本身并不能自动创建无偏场景，若数据集有偏差反而会引入统计偏差</w:t>
      </w:r>
      <w:r>
        <w:rPr>
          <w:sz w:val="15"/>
          <w:vertAlign w:val="superscript"/>
        </w:rPr>
        <w:t>P448</w:t>
      </w:r>
      <w:r>
        <w:t>。题干条件更匹配C、D所述的实际分析产出，而非B的理想化目标。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