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Which payment type presents the highest financial crime risk? ( )</w:t>
      </w:r>
    </w:p>
    <w:p>
      <w:pPr>
        <w:spacing w:line="360" w:lineRule="auto" w:after="20"/>
        <w:ind w:firstLine="283"/>
      </w:pPr>
      <w:r>
        <w:t>A. A check returning a mortgage overpayment made in error</w:t>
      </w:r>
    </w:p>
    <w:p>
      <w:pPr>
        <w:spacing w:line="360" w:lineRule="auto" w:after="20"/>
        <w:ind w:firstLine="283"/>
      </w:pPr>
      <w:r>
        <w:t>B. A payment made to a mixer platform</w:t>
      </w:r>
    </w:p>
    <w:p>
      <w:pPr>
        <w:spacing w:line="360" w:lineRule="auto" w:after="20"/>
        <w:ind w:firstLine="283"/>
      </w:pPr>
      <w:r>
        <w:t>C. A regular standing order to a high-interest savings account</w:t>
      </w:r>
    </w:p>
    <w:p>
      <w:pPr>
        <w:spacing w:line="360" w:lineRule="auto" w:after="20"/>
        <w:ind w:firstLine="283"/>
      </w:pPr>
      <w:r>
        <w:t>D. A bill payment made to a friend after splitting a dinner bill</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识别混币平台作为匿名洗钱工具带来的高风险</w:t>
      </w:r>
    </w:p>
    <w:p>
      <w:pPr>
        <w:spacing w:before="120" w:after="40"/>
      </w:pPr>
      <w:r>
        <w:rPr>
          <w:b/>
          <w:sz w:val="21"/>
          <w:shd w:fill="D6E4F0" w:val="clear"/>
        </w:rPr>
        <w:t>核心解析</w:t>
      </w:r>
    </w:p>
    <w:p>
      <w:pPr>
        <w:spacing w:line="360" w:lineRule="auto" w:after="40"/>
        <w:ind w:firstLine="420"/>
      </w:pPr>
      <w:r>
        <w:t>洗钱者使用混币服务和隐私币实现匿名</w:t>
      </w:r>
      <w:r>
        <w:rPr>
          <w:sz w:val="15"/>
          <w:vertAlign w:val="superscript"/>
        </w:rPr>
        <w:t>P17</w:t>
      </w:r>
      <w:r>
        <w:t>。混合器通过混淆技术混合不同实体的资金，使来源地址难以追踪</w:t>
      </w:r>
      <w:r>
        <w:rPr>
          <w:sz w:val="15"/>
          <w:vertAlign w:val="superscript"/>
        </w:rPr>
        <w:t>P114</w:t>
      </w:r>
      <w:r>
        <w:t>，犯罪分子和受制裁实体广泛使用此类服务清洗非法资金</w:t>
      </w:r>
      <w:r>
        <w:rPr>
          <w:sz w:val="15"/>
          <w:vertAlign w:val="superscript"/>
        </w:rPr>
        <w:t>P115</w:t>
      </w:r>
      <w:r>
        <w:t>。支付给混币平台意味着主动将资金送入专门用于切断资金轨迹的匿名化渠道，因此金融犯罪风险在四个选项中最高。相比之下，退还错误多付的抵押贷款是纠正错误的常规操作，定期向高息储蓄账户下达常规定单是典型的低风险客户行为</w:t>
      </w:r>
      <w:r>
        <w:rPr>
          <w:sz w:val="15"/>
          <w:vertAlign w:val="superscript"/>
        </w:rPr>
        <w:t>P270</w:t>
      </w:r>
      <w:r>
        <w:t>，与朋友分摊晚餐费用属于日常小额个人转账，三者均不涉及洗钱常用的匿名化或复杂化技术，风险远低于混币平台支付。</w:t>
      </w:r>
    </w:p>
    <w:p>
      <w:pPr>
        <w:spacing w:before="120" w:after="40"/>
      </w:pPr>
      <w:r>
        <w:rPr>
          <w:b/>
          <w:sz w:val="21"/>
          <w:shd w:fill="D6E4F0" w:val="clear"/>
        </w:rPr>
        <w:t>A项错误</w:t>
      </w:r>
    </w:p>
    <w:p>
      <w:pPr>
        <w:spacing w:line="360" w:lineRule="auto" w:after="40"/>
        <w:ind w:firstLine="420"/>
      </w:pPr>
      <w:r>
        <w:t>退还错误多付的抵押贷款属于纠正错误的常规退款。教材中提前还贷可能被用于隐藏非法资金</w:t>
      </w:r>
      <w:r>
        <w:rPr>
          <w:sz w:val="15"/>
          <w:vertAlign w:val="superscript"/>
        </w:rPr>
        <w:t>P67</w:t>
      </w:r>
      <w:r>
        <w:t>，但题干所述为错误多付后的被动退款，而非主动提前偿还贷款，缺乏洗钱犯罪分子主动转移资金的要素，其风险远低于直接支付给混币平台。</w:t>
      </w:r>
    </w:p>
    <w:p>
      <w:pPr>
        <w:spacing w:before="120" w:after="40"/>
      </w:pPr>
      <w:r>
        <w:rPr>
          <w:b/>
          <w:sz w:val="21"/>
          <w:shd w:fill="D6E4F0" w:val="clear"/>
        </w:rPr>
        <w:t>C项错误</w:t>
      </w:r>
    </w:p>
    <w:p>
      <w:pPr>
        <w:spacing w:line="360" w:lineRule="auto" w:after="40"/>
        <w:ind w:firstLine="420"/>
      </w:pPr>
      <w:r>
        <w:t>教材将拥有固定工作和薪水的个人开设储蓄账户视为低风险客户</w:t>
      </w:r>
      <w:r>
        <w:rPr>
          <w:sz w:val="15"/>
          <w:vertAlign w:val="superscript"/>
        </w:rPr>
        <w:t>P270</w:t>
      </w:r>
      <w:r>
        <w:t>。定期向高息储蓄账户下达常规定单符合规律性储蓄行为，资金来源和目的清晰，与洗钱所需的匿名化或复杂化特征不吻合，因此相比混币平台支付，其风险极低。</w:t>
      </w:r>
    </w:p>
    <w:p>
      <w:pPr>
        <w:spacing w:before="120" w:after="40"/>
      </w:pPr>
      <w:r>
        <w:rPr>
          <w:b/>
          <w:sz w:val="21"/>
          <w:shd w:fill="D6E4F0" w:val="clear"/>
        </w:rPr>
        <w:t>D项错误</w:t>
      </w:r>
    </w:p>
    <w:p>
      <w:pPr>
        <w:spacing w:line="360" w:lineRule="auto" w:after="40"/>
        <w:ind w:firstLine="420"/>
      </w:pPr>
      <w:r>
        <w:t>与朋友分摊晚餐费用的个人付款是日常小额转账，不存在匿名转移、大额资金或洗钱技术特征。教材未将其列为风险场景，与专门用于切断资金轨迹的混币平台支付相比，其金融犯罪风险明显更低。</w:t>
      </w:r>
    </w:p>
    <w:p>
      <w:pPr>
        <w:spacing w:before="120" w:after="40"/>
      </w:pPr>
      <w:r>
        <w:rPr>
          <w:b/>
          <w:sz w:val="21"/>
          <w:shd w:fill="D6E4F0" w:val="clear"/>
        </w:rPr>
        <w:t>易错提醒</w:t>
      </w:r>
    </w:p>
    <w:p>
      <w:pPr>
        <w:spacing w:line="360" w:lineRule="auto" w:after="40"/>
        <w:ind w:firstLine="420"/>
      </w:pPr>
      <w:r>
        <w:t>退还错误多付的抵押贷款（退款）易与提前还贷混淆。提前还贷是犯罪分子将非法资金提前偿还贷款以伪装合法的手段</w:t>
      </w:r>
      <w:r>
        <w:rPr>
          <w:sz w:val="15"/>
          <w:vertAlign w:val="superscript"/>
        </w:rPr>
        <w:t>P67</w:t>
      </w:r>
      <w:r>
        <w:t>，而题干是退回多付款项，属于被动纠正错误，不具备主动洗钱的风险指标。</w:t>
      </w:r>
    </w:p>
    <w:p>
      <w:pPr>
        <w:spacing w:line="360" w:lineRule="auto" w:after="120"/>
      </w:pPr>
      <w:r/>
    </w:p>
    <w:p>
      <w:pPr>
        <w:spacing w:line="360" w:lineRule="auto" w:after="40"/>
      </w:pPr>
      <w:r>
        <w:t>2. Which of the following accurately describes the economic, reputational and social consequences of money laundering (ML) and the risks and consequences of violating AFC regulations? (Choose two.) ( )</w:t>
      </w:r>
    </w:p>
    <w:p>
      <w:pPr>
        <w:spacing w:line="360" w:lineRule="auto" w:after="20"/>
        <w:ind w:firstLine="283"/>
      </w:pPr>
      <w:r>
        <w:t>A. ML undermines the integrity and stability of financial systems and makes them vulnerable to illegal activity. This can erode investor confidence and hinder economic growth.</w:t>
      </w:r>
    </w:p>
    <w:p>
      <w:pPr>
        <w:spacing w:line="360" w:lineRule="auto" w:after="20"/>
        <w:ind w:firstLine="283"/>
      </w:pPr>
      <w:r>
        <w:t>B. When a financial institution (FI) is found to be promoting ML or violating AFC regulations, this can lead to a loss of confidence in the institution and a loss of customers. Interestingly, this scenario might sidestep any legal consequences for the FI.</w:t>
      </w:r>
    </w:p>
    <w:p>
      <w:pPr>
        <w:spacing w:line="360" w:lineRule="auto" w:after="20"/>
        <w:ind w:firstLine="283"/>
      </w:pPr>
      <w:r>
        <w:t>C. When laundered funds flow into legitimate economies, they can be used for illegal purposes, such as funding terrorist activities or organized crime. This distorts resource allocation and undermines development.</w:t>
      </w:r>
    </w:p>
    <w:p>
      <w:pPr>
        <w:spacing w:line="360" w:lineRule="auto" w:after="20"/>
        <w:ind w:firstLine="283"/>
      </w:pPr>
      <w:r>
        <w:t>D. Jurisdictions perceived as having insufficient ML measures might be identified as uncooperative or high-risk, potentially facing restricted access to international markets, though economic sanctions by other countries are an unlikely outcome.</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识别洗钱的经济、声誉和社会后果</w:t>
      </w:r>
    </w:p>
    <w:p>
      <w:pPr>
        <w:spacing w:before="120" w:after="40"/>
      </w:pPr>
      <w:r>
        <w:rPr>
          <w:b/>
          <w:sz w:val="21"/>
          <w:shd w:fill="D6E4F0" w:val="clear"/>
        </w:rPr>
        <w:t>核心解析</w:t>
      </w:r>
    </w:p>
    <w:p>
      <w:pPr>
        <w:spacing w:line="360" w:lineRule="auto" w:after="40"/>
        <w:ind w:firstLine="420"/>
      </w:pPr>
      <w:r>
        <w:t>金融犯罪指利用金融系统牟取非法利益，往往破坏经济与市场完整性</w:t>
      </w:r>
      <w:r>
        <w:rPr>
          <w:sz w:val="15"/>
          <w:vertAlign w:val="superscript"/>
        </w:rPr>
        <w:t>P16</w:t>
      </w:r>
      <w:r>
        <w:t>。金融犯罪阻碍外国投资、削弱投资者信心</w:t>
      </w:r>
      <w:r>
        <w:rPr>
          <w:sz w:val="15"/>
          <w:vertAlign w:val="superscript"/>
        </w:rPr>
        <w:t>P41</w:t>
      </w:r>
      <w:r>
        <w:t>。洗钱助长人口贩运、贩毒、恐怖主义等犯罪的融资</w:t>
      </w:r>
      <w:r>
        <w:rPr>
          <w:sz w:val="15"/>
          <w:vertAlign w:val="superscript"/>
        </w:rPr>
        <w:t>P42</w:t>
      </w:r>
      <w:r>
        <w:t>。由此，选项A“破坏金融系统完整性、削弱投资者信心、阻碍经济增长”和选项C“洗钱资金被用于资助恐怖活动、扭曲资源配置”均准确描述了洗钱的经济、声誉和社会后果以及违反AFC规定的风险。</w:t>
      </w:r>
    </w:p>
    <w:p>
      <w:pPr>
        <w:spacing w:before="120" w:after="40"/>
      </w:pPr>
      <w:r>
        <w:rPr>
          <w:b/>
          <w:sz w:val="21"/>
          <w:shd w:fill="D6E4F0" w:val="clear"/>
        </w:rPr>
        <w:t>教材原句</w:t>
      </w:r>
    </w:p>
    <w:p>
      <w:pPr>
        <w:spacing w:line="360" w:lineRule="auto" w:after="40"/>
        <w:ind w:firstLine="420"/>
      </w:pPr>
      <w:r>
        <w:t>"Financial crime encompasses a variety of illegal activities that exploit financial systems for personal or organizational gain, often undermining the integrity of economies and markets."</w:t>
      </w:r>
    </w:p>
    <w:p>
      <w:pPr>
        <w:spacing w:before="120" w:after="40"/>
      </w:pPr>
      <w:r>
        <w:rPr>
          <w:b/>
          <w:sz w:val="21"/>
          <w:shd w:fill="D6E4F0" w:val="clear"/>
        </w:rPr>
        <w:t>B项错误</w:t>
      </w:r>
    </w:p>
    <w:p>
      <w:pPr>
        <w:spacing w:line="360" w:lineRule="auto" w:after="40"/>
        <w:ind w:firstLine="420"/>
      </w:pPr>
      <w:r>
        <w:t>教材明确指出，违反反洗钱/制裁合规会带来重大民事和刑事法律责任，包括罚款、刑事起诉甚至监禁</w:t>
      </w:r>
      <w:r>
        <w:rPr>
          <w:sz w:val="15"/>
          <w:vertAlign w:val="superscript"/>
        </w:rPr>
        <w:t>P457</w:t>
      </w:r>
      <w:r>
        <w:t>。选项B声称金融机构“免受任何法律后果”与教材直接矛盾，正确项A和C描述的才是真实的负面后果。</w:t>
      </w:r>
    </w:p>
    <w:p>
      <w:pPr>
        <w:spacing w:before="120" w:after="40"/>
      </w:pPr>
      <w:r>
        <w:rPr>
          <w:b/>
          <w:sz w:val="21"/>
          <w:shd w:fill="D6E4F0" w:val="clear"/>
        </w:rPr>
        <w:t>D项错误</w:t>
      </w:r>
    </w:p>
    <w:p>
      <w:pPr>
        <w:spacing w:line="360" w:lineRule="auto" w:after="40"/>
        <w:ind w:firstLine="420"/>
      </w:pPr>
      <w:r>
        <w:t>教材将国际制裁和贸易限制列为反洗钱执法松懈辖区的可能后果</w:t>
      </w:r>
      <w:r>
        <w:rPr>
          <w:sz w:val="15"/>
          <w:vertAlign w:val="superscript"/>
        </w:rPr>
        <w:t>P42</w:t>
      </w:r>
      <w:r>
        <w:t>，而非“可能性不大”。因此D低估了制裁风险，不如A、C直接吻合教材对后果的描述。</w:t>
      </w:r>
    </w:p>
    <w:p>
      <w:pPr>
        <w:spacing w:line="360" w:lineRule="auto" w:after="120"/>
      </w:pPr>
      <w:r/>
    </w:p>
    <w:p>
      <w:pPr>
        <w:spacing w:line="360" w:lineRule="auto" w:after="40"/>
      </w:pPr>
      <w:r>
        <w:t>3. Cryptocurrency-related technologies that can be exploited by money launderers include: (Select Two.) ( )</w:t>
      </w:r>
    </w:p>
    <w:p>
      <w:pPr>
        <w:spacing w:line="360" w:lineRule="auto" w:after="20"/>
        <w:ind w:firstLine="283"/>
      </w:pPr>
      <w:r>
        <w:t>A. Generative copilots.</w:t>
      </w:r>
    </w:p>
    <w:p>
      <w:pPr>
        <w:spacing w:line="360" w:lineRule="auto" w:after="20"/>
        <w:ind w:firstLine="283"/>
      </w:pPr>
      <w:r>
        <w:t>B. Small language models.</w:t>
      </w:r>
    </w:p>
    <w:p>
      <w:pPr>
        <w:spacing w:line="360" w:lineRule="auto" w:after="20"/>
        <w:ind w:firstLine="283"/>
      </w:pPr>
      <w:r>
        <w:t>C. Privacy coins.</w:t>
      </w:r>
    </w:p>
    <w:p>
      <w:pPr>
        <w:spacing w:line="360" w:lineRule="auto" w:after="20"/>
        <w:ind w:firstLine="283"/>
      </w:pPr>
      <w:r>
        <w:t>D. Crypto-mixers.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区分洗钱者滥用的加密货币匿名技术与机构反洗钱工具</w:t>
      </w:r>
    </w:p>
    <w:p>
      <w:pPr>
        <w:spacing w:before="120" w:after="40"/>
      </w:pPr>
      <w:r>
        <w:rPr>
          <w:b/>
          <w:sz w:val="21"/>
          <w:shd w:fill="D6E4F0" w:val="clear"/>
        </w:rPr>
        <w:t>核心解析</w:t>
      </w:r>
    </w:p>
    <w:p>
      <w:pPr>
        <w:spacing w:line="360" w:lineRule="auto" w:after="40"/>
        <w:ind w:firstLine="420"/>
      </w:pPr>
      <w:r>
        <w:t>教材在数字资产洗钱技术中直接列出两类手段：混币服务（crypto‑mixers）和隐私币（privacy coins），指出“洗钱者使用混币服务和隐私币实现匿名”</w:t>
      </w:r>
      <w:r>
        <w:rPr>
          <w:sz w:val="15"/>
          <w:vertAlign w:val="superscript"/>
        </w:rPr>
        <w:t>P17</w:t>
      </w:r>
      <w:r>
        <w:t>。题干限定“可被洗钱者利用”的加密货币相关技术，选项C“隐私币”与D“加密货币混合器”正好对应这两条已被教材确认的洗钱技术，因此是正确答案。</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教材将生成式AI定位为机构反洗钱工具，例如辅助撰写可疑活动报告</w:t>
      </w:r>
      <w:r>
        <w:rPr>
          <w:sz w:val="15"/>
          <w:vertAlign w:val="superscript"/>
        </w:rPr>
        <w:t>P397</w:t>
      </w:r>
      <w:r>
        <w:t>，未出现在洗钱技术清单中，因此它更匹配机构的合规角色而非洗钱者的利用对象。</w:t>
      </w:r>
    </w:p>
    <w:p>
      <w:pPr>
        <w:spacing w:before="120" w:after="40"/>
      </w:pPr>
      <w:r>
        <w:rPr>
          <w:b/>
          <w:sz w:val="21"/>
          <w:shd w:fill="D6E4F0" w:val="clear"/>
        </w:rPr>
        <w:t>B项错误</w:t>
      </w:r>
    </w:p>
    <w:p>
      <w:pPr>
        <w:spacing w:line="360" w:lineRule="auto" w:after="40"/>
        <w:ind w:firstLine="420"/>
      </w:pPr>
      <w:r>
        <w:t>小型语言模型在教材中与支付筛查、名称匹配等反洗钱场景关联</w:t>
      </w:r>
      <w:r>
        <w:rPr>
          <w:sz w:val="15"/>
          <w:vertAlign w:val="superscript"/>
        </w:rPr>
        <w:t>P433</w:t>
      </w:r>
      <w:r>
        <w:t>，同样属于机构防控手段，题干要求的是洗钱者利用的技术，该选项缺乏教材证据支持。</w:t>
      </w:r>
    </w:p>
    <w:p>
      <w:pPr>
        <w:spacing w:before="120" w:after="40"/>
      </w:pPr>
      <w:r>
        <w:rPr>
          <w:b/>
          <w:sz w:val="21"/>
          <w:shd w:fill="D6E4F0" w:val="clear"/>
        </w:rPr>
        <w:t>易错提醒</w:t>
      </w:r>
    </w:p>
    <w:p>
      <w:pPr>
        <w:spacing w:line="360" w:lineRule="auto" w:after="40"/>
        <w:ind w:firstLine="420"/>
      </w:pPr>
      <w:r>
        <w:t>教材清晰分隔了两类技术：一是洗钱者直接用以匿名的工具（如隐私币、混合器，P17），二是金融机构用于监测洗钱的工具（如生成式AI、自动化筛查，P385·P397）。解题时先锁定题干主语是“洗钱者利用”还是“机构使用”，即可避免选反方向。</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