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law enforcement action alleged that on several trading days over the course of two months, defendants engaged in a series of copper, gold, crude oil, and natural gas futures transactions on an electronic trading platform. One defendant repeatedly bought futures contracts at low prices from the other and then immediately sold them back at higher prices. As a result, one defendant effectively pocketed the same amount as the other lost even though there were no changes in the open positions held by either defendant. What is a name for this typology? ( )</w:t>
      </w:r>
    </w:p>
    <w:p>
      <w:pPr>
        <w:spacing w:line="360" w:lineRule="auto" w:after="20"/>
        <w:ind w:firstLine="283"/>
      </w:pPr>
      <w:r>
        <w:t>A. Short position</w:t>
      </w:r>
    </w:p>
    <w:p>
      <w:pPr>
        <w:spacing w:line="360" w:lineRule="auto" w:after="20"/>
        <w:ind w:firstLine="283"/>
      </w:pPr>
      <w:r>
        <w:t>B. Reverse flip</w:t>
      </w:r>
    </w:p>
    <w:p>
      <w:pPr>
        <w:spacing w:line="360" w:lineRule="auto" w:after="20"/>
        <w:ind w:firstLine="283"/>
      </w:pPr>
      <w:r>
        <w:t>C. Bid-ask spread</w:t>
      </w:r>
    </w:p>
    <w:p>
      <w:pPr>
        <w:spacing w:line="360" w:lineRule="auto" w:after="20"/>
        <w:ind w:firstLine="283"/>
      </w:pPr>
      <w:r>
        <w:t>D. Wash trading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洗单交易的特征：预先安排的对倒，无持仓变化，转移资金</w:t>
      </w:r>
    </w:p>
    <w:p>
      <w:pPr>
        <w:spacing w:before="120" w:after="40"/>
      </w:pPr>
      <w:r>
        <w:rPr>
          <w:b/>
          <w:sz w:val="21"/>
          <w:shd w:fill="D6E4F0" w:val="clear"/>
        </w:rPr>
        <w:t>核心解析</w:t>
      </w:r>
    </w:p>
    <w:p>
      <w:pPr>
        <w:spacing w:line="360" w:lineRule="auto" w:after="40"/>
        <w:ind w:firstLine="420"/>
      </w:pPr>
      <w:r>
        <w:t>教材在P66指出，“预先安排的交易可制造虚假交易量并掩盖资金来源”，这即洗单交易（wash trading）的典型形态。题干中，被告之间低价买入、立即高价卖回同一合约，双方的持仓量始终未发生任何变化，但资金却从一方转移至另一方，且交易并非受市场驱动，而是事先安排的对倒行为。这种利用虚假交易制造交易量、实现资金定向转移的模式，直接对应洗单交易的定义。</w:t>
      </w:r>
    </w:p>
    <w:p>
      <w:pPr>
        <w:spacing w:before="120" w:after="40"/>
      </w:pPr>
      <w:r>
        <w:rPr>
          <w:b/>
          <w:sz w:val="21"/>
          <w:shd w:fill="D6E4F0" w:val="clear"/>
        </w:rPr>
        <w:t>教材原句</w:t>
      </w:r>
    </w:p>
    <w:p>
      <w:pPr>
        <w:spacing w:line="360" w:lineRule="auto" w:after="40"/>
        <w:ind w:firstLine="420"/>
      </w:pPr>
      <w:r>
        <w:t>"Pre-arranged trading that can create artificial trading volumes and obscure the origin of funds."</w:t>
      </w:r>
    </w:p>
    <w:p>
      <w:pPr>
        <w:spacing w:before="120" w:after="40"/>
      </w:pPr>
      <w:r>
        <w:rPr>
          <w:b/>
          <w:sz w:val="21"/>
          <w:shd w:fill="D6E4F0" w:val="clear"/>
        </w:rPr>
        <w:t>A项错误</w:t>
      </w:r>
    </w:p>
    <w:p>
      <w:pPr>
        <w:spacing w:line="360" w:lineRule="auto" w:after="40"/>
        <w:ind w:firstLine="420"/>
      </w:pPr>
      <w:r>
        <w:t>“空头头寸”反映的是预期价格下跌而持有的净卖出敞口。题干中双方反复买卖后持仓量未变，不存在持续的净卖出方向，不如洗单交易直接吻合对倒和资金转移的特征。</w:t>
      </w:r>
    </w:p>
    <w:p>
      <w:pPr>
        <w:spacing w:before="120" w:after="40"/>
      </w:pPr>
      <w:r>
        <w:rPr>
          <w:b/>
          <w:sz w:val="21"/>
          <w:shd w:fill="D6E4F0" w:val="clear"/>
        </w:rPr>
        <w:t>B项错误</w:t>
      </w:r>
    </w:p>
    <w:p>
      <w:pPr>
        <w:spacing w:line="360" w:lineRule="auto" w:after="40"/>
        <w:ind w:firstLine="420"/>
      </w:pPr>
      <w:r>
        <w:t>教材未给出“反向翻转”的定义，题干也未提供与该术语相关的特征要素，相比之下，洗单交易有明确定义且已被材料直接用来描述预先安排的对倒行为。</w:t>
      </w:r>
    </w:p>
    <w:p>
      <w:pPr>
        <w:spacing w:before="120" w:after="40"/>
      </w:pPr>
      <w:r>
        <w:rPr>
          <w:b/>
          <w:sz w:val="21"/>
          <w:shd w:fill="D6E4F0" w:val="clear"/>
        </w:rPr>
        <w:t>C项错误</w:t>
      </w:r>
    </w:p>
    <w:p>
      <w:pPr>
        <w:spacing w:line="360" w:lineRule="auto" w:after="40"/>
        <w:ind w:firstLine="420"/>
      </w:pPr>
      <w:r>
        <w:t>“买卖价差”是正常做市商通过持续双边报价获取的流动性收益，而题干中的价差来自同一对被告间人为安排的低买高卖，并非真实市场供需形成，更契合洗单交易中预先安排的特征。</w:t>
      </w:r>
    </w:p>
    <w:p>
      <w:pPr>
        <w:spacing w:before="120" w:after="40"/>
      </w:pPr>
      <w:r>
        <w:rPr>
          <w:b/>
          <w:sz w:val="21"/>
          <w:shd w:fill="D6E4F0" w:val="clear"/>
        </w:rPr>
        <w:t>易错提醒</w:t>
      </w:r>
    </w:p>
    <w:p>
      <w:pPr>
        <w:spacing w:line="360" w:lineRule="auto" w:after="40"/>
        <w:ind w:firstLine="420"/>
      </w:pPr>
      <w:r>
        <w:t>洗单交易的核心是预先安排的对倒，无真实持仓变化即可实现资金转移；“反向翻转”一词未在教材中出现，不能仅凭字面意思当作类型学名称使用。</w:t>
      </w:r>
    </w:p>
    <w:p>
      <w:pPr>
        <w:spacing w:line="360" w:lineRule="auto" w:after="120"/>
      </w:pPr>
      <w:r/>
    </w:p>
    <w:p>
      <w:pPr>
        <w:spacing w:line="360" w:lineRule="auto" w:after="40"/>
      </w:pPr>
      <w:r>
        <w:t>2. Money services businesses (MSBs), payment service providers, and e-commerce platforms usually have a high volume of daily transactions. What are the risks associated with these types of businesses? (Choose Two.) ( )</w:t>
      </w:r>
    </w:p>
    <w:p>
      <w:pPr>
        <w:spacing w:line="360" w:lineRule="auto" w:after="20"/>
        <w:ind w:firstLine="283"/>
      </w:pPr>
      <w:r>
        <w:t>A. These businesses are all cash intensive, increasing the risk of financial crime.</w:t>
      </w:r>
    </w:p>
    <w:p>
      <w:pPr>
        <w:spacing w:line="360" w:lineRule="auto" w:after="20"/>
        <w:ind w:firstLine="283"/>
      </w:pPr>
      <w:r>
        <w:t>B. KYC challenges arise because e-commerce platforms face global customers, making customer due diligence complex and resource intensive.</w:t>
      </w:r>
    </w:p>
    <w:p>
      <w:pPr>
        <w:spacing w:line="360" w:lineRule="auto" w:after="20"/>
        <w:ind w:firstLine="283"/>
      </w:pPr>
      <w:r>
        <w:t>C. These businesses are highly regulated and therefore have no reason to be non-compliant, as this would put them at risk of sanctions and fines.</w:t>
      </w:r>
    </w:p>
    <w:p>
      <w:pPr>
        <w:spacing w:line="360" w:lineRule="auto" w:after="20"/>
        <w:ind w:firstLine="283"/>
      </w:pPr>
      <w:r>
        <w:t>D. Criminals can use identity fraud to complete the KYC process for layering purposes.</w:t>
      </w:r>
    </w:p>
    <w:p>
      <w:pPr>
        <w:spacing w:line="360" w:lineRule="auto" w:after="20"/>
        <w:ind w:firstLine="283"/>
      </w:pPr>
      <w:r>
        <w:t>E. These businesses' settlement systems are not sufficiently robust to handle high transaction volumes.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识别企业因远程/非面对面客户开户而产生的身份欺诈风险</w:t>
      </w:r>
    </w:p>
    <w:p>
      <w:pPr>
        <w:spacing w:before="120" w:after="40"/>
      </w:pPr>
      <w:r>
        <w:rPr>
          <w:b/>
          <w:sz w:val="21"/>
          <w:shd w:fill="D6E4F0" w:val="clear"/>
        </w:rPr>
        <w:t>核心解析</w:t>
      </w:r>
    </w:p>
    <w:p>
      <w:pPr>
        <w:spacing w:line="360" w:lineRule="auto" w:after="40"/>
        <w:ind w:firstLine="420"/>
      </w:pPr>
      <w:r>
        <w:t>零售银行产品面临独特的洗钱风险：远程开户通过数字渠道引入新客户时，验证过程的风险增大，犯罪分子更容易使用假身份或盗用身份，并利用技术漏洞</w:t>
      </w:r>
      <w:r>
        <w:rPr>
          <w:sz w:val="15"/>
          <w:vertAlign w:val="superscript"/>
        </w:rPr>
        <w:t>P63</w:t>
      </w:r>
      <w:r>
        <w:t>。在线博彩领域的快速开户流程对犯罪分子具有吸引力，在缺乏必要控制时，身份欺诈风险会上升</w:t>
      </w:r>
      <w:r>
        <w:rPr>
          <w:sz w:val="15"/>
          <w:vertAlign w:val="superscript"/>
        </w:rPr>
        <w:t>P120</w:t>
      </w:r>
      <w:r>
        <w:t>。题干中的支付服务提供商和电子商务平台天然依赖远程开户与非面对面交易，因此面临同样的身份欺诈风险。犯罪分子利用这一点，通过身份欺诈完成“了解你的客户”流程，为资金分层提供掩护——这正是选项B（KYC挑战源于全球远程客户，尽职调查复杂且耗费资源）和选项D（犯罪分子利用身份欺诈完成KYC以达到分层目的）共同指向的风险逻辑。</w:t>
      </w:r>
    </w:p>
    <w:p>
      <w:pPr>
        <w:spacing w:before="120" w:after="40"/>
      </w:pPr>
      <w:r>
        <w:rPr>
          <w:b/>
          <w:sz w:val="21"/>
          <w:shd w:fill="D6E4F0" w:val="clear"/>
        </w:rPr>
        <w:t>教材原句</w:t>
      </w:r>
    </w:p>
    <w:p>
      <w:pPr>
        <w:spacing w:line="360" w:lineRule="auto" w:after="40"/>
        <w:ind w:firstLine="420"/>
      </w:pPr>
      <w:r>
        <w:t>"Remote onboarding: The use of digital channels for onboarding new customers can introduce additional risks to the verification process, making it easier for criminals to use fake or stolen identities and exploit weaknesses in technology."</w:t>
      </w:r>
    </w:p>
    <w:p>
      <w:pPr>
        <w:spacing w:before="120" w:after="40"/>
      </w:pPr>
      <w:r>
        <w:rPr>
          <w:b/>
          <w:sz w:val="21"/>
          <w:shd w:fill="D6E4F0" w:val="clear"/>
        </w:rPr>
        <w:t>A项错误</w:t>
      </w:r>
    </w:p>
    <w:p>
      <w:pPr>
        <w:spacing w:line="360" w:lineRule="auto" w:after="40"/>
        <w:ind w:firstLine="420"/>
      </w:pPr>
      <w:r>
        <w:t>教材将货币服务企业列为现金密集型高风险行业</w:t>
      </w:r>
      <w:r>
        <w:rPr>
          <w:sz w:val="15"/>
          <w:vertAlign w:val="superscript"/>
        </w:rPr>
        <w:t>P312</w:t>
      </w:r>
      <w:r>
        <w:t>，但支付服务提供商在数字支付中发挥核心作用</w:t>
      </w:r>
      <w:r>
        <w:rPr>
          <w:sz w:val="15"/>
          <w:vertAlign w:val="superscript"/>
        </w:rPr>
        <w:t>P89</w:t>
      </w:r>
      <w:r>
        <w:t>，电子商务平台显然不依赖实体现金交易。题干概括了这三种企业，题干条件更直接匹配于远程交易带来的身份验证挑战，而非统一认定为现金密集型企业。</w:t>
      </w:r>
    </w:p>
    <w:p>
      <w:pPr>
        <w:spacing w:before="120" w:after="40"/>
      </w:pPr>
      <w:r>
        <w:rPr>
          <w:b/>
          <w:sz w:val="21"/>
          <w:shd w:fill="D6E4F0" w:val="clear"/>
        </w:rPr>
        <w:t>C项错误</w:t>
      </w:r>
    </w:p>
    <w:p>
      <w:pPr>
        <w:spacing w:line="360" w:lineRule="auto" w:after="40"/>
        <w:ind w:firstLine="420"/>
      </w:pPr>
      <w:r>
        <w:t>题干问的是这些企业“存在哪些风险”，而非“是否应合规”。教材指出不合规可能导致严重处罚，包括监管罚款、同意令甚至吊销营业执照</w:t>
      </w:r>
      <w:r>
        <w:rPr>
          <w:sz w:val="15"/>
          <w:vertAlign w:val="superscript"/>
        </w:rPr>
        <w:t>P95</w:t>
      </w:r>
      <w:r>
        <w:t>，但这正是风险的后果，不是企业不存在风险的理由。企业受到严格监管恰恰意味着它们面临因不合规而受处罚的风险。</w:t>
      </w:r>
    </w:p>
    <w:p>
      <w:pPr>
        <w:spacing w:before="120" w:after="40"/>
      </w:pPr>
      <w:r>
        <w:rPr>
          <w:b/>
          <w:sz w:val="21"/>
          <w:shd w:fill="D6E4F0" w:val="clear"/>
        </w:rPr>
        <w:t>E项错误</w:t>
      </w:r>
    </w:p>
    <w:p>
      <w:pPr>
        <w:spacing w:line="360" w:lineRule="auto" w:after="40"/>
        <w:ind w:firstLine="420"/>
      </w:pPr>
      <w:r>
        <w:t>教材在案例中提到，货币服务企业和支付服务提供商处理大量小额交易，需要比企业银行更自动化的监控方法</w:t>
      </w:r>
      <w:r>
        <w:rPr>
          <w:sz w:val="15"/>
          <w:vertAlign w:val="superscript"/>
        </w:rPr>
        <w:t>P254</w:t>
      </w:r>
      <w:r>
        <w:t>，这强调的是监控方式需适应高交易量，而非结算系统本身无法应对高交易量。题干未提供任何关于结算系统完善程度的信息。</w:t>
      </w:r>
    </w:p>
    <w:p>
      <w:pPr>
        <w:spacing w:before="120" w:after="40"/>
      </w:pPr>
      <w:r>
        <w:rPr>
          <w:b/>
          <w:sz w:val="21"/>
          <w:shd w:fill="D6E4F0" w:val="clear"/>
        </w:rPr>
        <w:t>易错提醒</w:t>
      </w:r>
    </w:p>
    <w:p>
      <w:pPr>
        <w:spacing w:line="360" w:lineRule="auto" w:after="40"/>
        <w:ind w:firstLine="420"/>
      </w:pPr>
      <w:r>
        <w:t>现金密集型与远程交易型风险容易混淆。教材将货币服务企业列为现金密集型高风险行业</w:t>
      </w:r>
      <w:r>
        <w:rPr>
          <w:sz w:val="15"/>
          <w:vertAlign w:val="superscript"/>
        </w:rPr>
        <w:t>P312</w:t>
      </w:r>
      <w:r>
        <w:t>，但支付服务提供商和电子商务平台的核心洗钱风险在于非面对面的数字身份验证漏洞，而非大量现金经手。判断时看企业核心业务模式是依赖实体现金流转，还是依赖远程电子交易，后者更应关注身份欺诈风险。</w:t>
      </w:r>
    </w:p>
    <w:p>
      <w:pPr>
        <w:spacing w:line="360" w:lineRule="auto" w:after="120"/>
      </w:pPr>
      <w:r/>
    </w:p>
    <w:p>
      <w:pPr>
        <w:spacing w:line="360" w:lineRule="auto" w:after="40"/>
      </w:pPr>
      <w:r>
        <w:t>3. Which red flags apply to trade-based money laundering (TBML) schemes? (Choose three.) ( )</w:t>
      </w:r>
    </w:p>
    <w:p>
      <w:pPr>
        <w:spacing w:line="360" w:lineRule="auto" w:after="20"/>
        <w:ind w:firstLine="283"/>
      </w:pPr>
      <w:r>
        <w:t>A. Use of wire transfers</w:t>
      </w:r>
    </w:p>
    <w:p>
      <w:pPr>
        <w:spacing w:line="360" w:lineRule="auto" w:after="20"/>
        <w:ind w:firstLine="283"/>
      </w:pPr>
      <w:r>
        <w:t>B. Loitering</w:t>
      </w:r>
    </w:p>
    <w:p>
      <w:pPr>
        <w:spacing w:line="360" w:lineRule="auto" w:after="20"/>
        <w:ind w:firstLine="283"/>
      </w:pPr>
      <w:r>
        <w:t>C. Instructions or involvement from third parties</w:t>
      </w:r>
    </w:p>
    <w:p>
      <w:pPr>
        <w:spacing w:line="360" w:lineRule="auto" w:after="20"/>
        <w:ind w:firstLine="283"/>
      </w:pPr>
      <w:r>
        <w:t>D. Amended letters of credit without reasonable justification</w:t>
      </w:r>
    </w:p>
    <w:p>
      <w:pPr>
        <w:spacing w:line="360" w:lineRule="auto" w:after="20"/>
        <w:ind w:firstLine="283"/>
      </w:pPr>
      <w:r>
        <w:t>E. Non-standard settlement arrangements</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识别贸易型洗钱的典型风险信号</w:t>
      </w:r>
    </w:p>
    <w:p>
      <w:pPr>
        <w:spacing w:before="120" w:after="40"/>
      </w:pPr>
      <w:r>
        <w:rPr>
          <w:b/>
          <w:sz w:val="21"/>
          <w:shd w:fill="D6E4F0" w:val="clear"/>
        </w:rPr>
        <w:t>核心解析</w:t>
      </w:r>
    </w:p>
    <w:p>
      <w:pPr>
        <w:spacing w:line="360" w:lineRule="auto" w:after="40"/>
        <w:ind w:firstLine="420"/>
      </w:pPr>
      <w:r>
        <w:t>贸易型洗钱（TBML）指利用跨境贸易交易，通过对进出口价格、数量或质量的虚假陈述来隐匿犯罪所得并转移价值</w:t>
      </w:r>
      <w:r>
        <w:rPr>
          <w:sz w:val="15"/>
          <w:vertAlign w:val="superscript"/>
        </w:rPr>
        <w:t>P66</w:t>
      </w:r>
      <w:r>
        <w:t>。教材在第66页列出的TBML风险包括：第三方指令或参与增加交易复杂性、使资金来源更难追踪（C）；非标准结算安排被客户用于掩盖交易真实性质（E）；以及信用证可被滥用于虚构贸易交易以跨境转移非法资金（D）。题干问适用于TBML的警示信号，这三个选项恰好分别对应上述风险，因此属于直接匹配的正确项。</w:t>
      </w:r>
    </w:p>
    <w:p>
      <w:pPr>
        <w:spacing w:before="120" w:after="40"/>
      </w:pPr>
      <w:r>
        <w:rPr>
          <w:b/>
          <w:sz w:val="21"/>
          <w:shd w:fill="D6E4F0" w:val="clear"/>
        </w:rPr>
        <w:t>A项错误</w:t>
      </w:r>
    </w:p>
    <w:p>
      <w:pPr>
        <w:spacing w:line="360" w:lineRule="auto" w:after="40"/>
        <w:ind w:firstLine="420"/>
      </w:pPr>
      <w:r>
        <w:t>电汇是一种普遍的跨境支付方式，虽然教材在第78页提到其可能被用于多种非法活动，但该风险适用于所有涉及资金转移的场景，并非TBML特有的警示信号。教材在第66页列出的TBML风险清单中并未包含电汇，相比之下，题干更直接匹配第三方参与、非标准结算和信用证滥用等TBML特指的风险类型。</w:t>
      </w:r>
    </w:p>
    <w:p>
      <w:pPr>
        <w:spacing w:before="120" w:after="40"/>
      </w:pPr>
      <w:r>
        <w:rPr>
          <w:b/>
          <w:sz w:val="21"/>
          <w:shd w:fill="D6E4F0" w:val="clear"/>
        </w:rPr>
        <w:t>B项错误</w:t>
      </w:r>
    </w:p>
    <w:p>
      <w:pPr>
        <w:spacing w:line="360" w:lineRule="auto" w:after="40"/>
        <w:ind w:firstLine="420"/>
      </w:pPr>
      <w:r>
        <w:t>教材中未将“滞留”列为贸易型洗钱的风险信号，也无相关定义将其与TBML直接关联。在教材框架下，该选项缺少必要的证据支持，不如正确项那样有明确的TBML风险依据。</w:t>
      </w:r>
    </w:p>
    <w:p>
      <w:pPr>
        <w:spacing w:line="360" w:lineRule="auto" w:after="120"/>
      </w:pPr>
      <w:r/>
    </w:p>
    <w:p>
      <w:pPr>
        <w:spacing w:line="360" w:lineRule="auto" w:after="40"/>
      </w:pPr>
      <w:r>
        <w:t>4. Potential risk indicators for a trade counterparty in trade-based money laundering include: (Select Three.) ( )</w:t>
      </w:r>
    </w:p>
    <w:p>
      <w:pPr>
        <w:spacing w:line="360" w:lineRule="auto" w:after="20"/>
        <w:ind w:firstLine="283"/>
      </w:pPr>
      <w:r>
        <w:t>A. Irregular or inconsistent trade volume and frequency that do not align with the historical trading behavior of the counterparty</w:t>
      </w:r>
    </w:p>
    <w:p>
      <w:pPr>
        <w:spacing w:line="360" w:lineRule="auto" w:after="20"/>
        <w:ind w:firstLine="283"/>
      </w:pPr>
      <w:r>
        <w:t>B. Contracts, invoices, or other trade documents containing detailed descriptions of the traded commodities</w:t>
      </w:r>
    </w:p>
    <w:p>
      <w:pPr>
        <w:spacing w:line="360" w:lineRule="auto" w:after="20"/>
        <w:ind w:firstLine="283"/>
      </w:pPr>
      <w:r>
        <w:t>C. Cash deposits or other transactions consistently below the relevant reporting thresholds</w:t>
      </w:r>
    </w:p>
    <w:p>
      <w:pPr>
        <w:spacing w:line="360" w:lineRule="auto" w:after="20"/>
        <w:ind w:firstLine="283"/>
      </w:pPr>
      <w:r>
        <w:t>D. Engaging in transactions, shipping routes, or shipping methods that are not in line with standard business practices</w:t>
      </w:r>
    </w:p>
    <w:p>
      <w:pPr>
        <w:spacing w:line="360" w:lineRule="auto" w:after="20"/>
        <w:ind w:firstLine="283"/>
      </w:pPr>
      <w:r>
        <w:t>E. Transparent pricing structures, with additional information provided to the receiving bank when price fluctuations exceed 10%</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根据交易行为与商业惯例背离程度识别贸易对手方洗钱风险</w:t>
      </w:r>
    </w:p>
    <w:p>
      <w:pPr>
        <w:spacing w:before="120" w:after="40"/>
      </w:pPr>
      <w:r>
        <w:rPr>
          <w:b/>
          <w:sz w:val="21"/>
          <w:shd w:fill="D6E4F0" w:val="clear"/>
        </w:rPr>
        <w:t>核心解析</w:t>
      </w:r>
    </w:p>
    <w:p>
      <w:pPr>
        <w:spacing w:line="360" w:lineRule="auto" w:after="40"/>
        <w:ind w:firstLine="420"/>
      </w:pPr>
      <w:r>
        <w:t>贸易型洗钱的风险指标侧重于交易行为、模式和结算方式的异常。教材将异常交易模式列为贸易洗钱的一类风险，包括交易频率、交易量与历史行为不符</w:t>
      </w:r>
      <w:r>
        <w:rPr>
          <w:sz w:val="15"/>
          <w:vertAlign w:val="superscript"/>
        </w:rPr>
        <w:t>P66</w:t>
      </w:r>
      <w:r>
        <w:t>。同时，将非标准结算安排、不合理商业策略以及故意拆分资金以规避报告门槛的活动视为可疑信号</w:t>
      </w:r>
      <w:r>
        <w:rPr>
          <w:sz w:val="15"/>
          <w:vertAlign w:val="superscript"/>
        </w:rPr>
        <w:t>P66、P453</w:t>
      </w:r>
      <w:r>
        <w:t>。题干A项“交易量和交易频率不规律或不一致，与历史交易行为不符”直接对应异常交易模式；C项“现金存款或其他交易持续低于相关报告门槛”对应规避报告的结构化行为；D项“从事不符合标准商业惯例的交易、运输路线或运输方式”对应非标准结算和不合理的商业安排，均在贸易对手方风险指标范围之内。</w:t>
      </w:r>
    </w:p>
    <w:p>
      <w:pPr>
        <w:spacing w:before="120" w:after="40"/>
      </w:pPr>
      <w:r>
        <w:rPr>
          <w:b/>
          <w:sz w:val="21"/>
          <w:shd w:fill="D6E4F0" w:val="clear"/>
        </w:rPr>
        <w:t>教材原句</w:t>
      </w:r>
    </w:p>
    <w:p>
      <w:pPr>
        <w:spacing w:line="360" w:lineRule="auto" w:after="40"/>
        <w:ind w:firstLine="420"/>
      </w:pPr>
      <w:r>
        <w:t>"Unusual trading patterns such as counterparty concentration, unusual winloss rates, or flat or neutralizing activity."</w:t>
      </w:r>
    </w:p>
    <w:p>
      <w:pPr>
        <w:spacing w:before="120" w:after="40"/>
      </w:pPr>
      <w:r>
        <w:rPr>
          <w:b/>
          <w:sz w:val="21"/>
          <w:shd w:fill="D6E4F0" w:val="clear"/>
        </w:rPr>
        <w:t>B项错误</w:t>
      </w:r>
    </w:p>
    <w:p>
      <w:pPr>
        <w:spacing w:line="360" w:lineRule="auto" w:after="40"/>
        <w:ind w:firstLine="420"/>
      </w:pPr>
      <w:r>
        <w:t>合同、发票等包含商品的详细描述，是正常贸易中应当具备的真实和透明的文档要素，而不直接指示洗钱风险。虽然教材案例中出现过使用虚假发票洗钱的情形，但题干中仅表现出详细描述，更倾向于指向正常的商业行为而非异常信号。</w:t>
      </w:r>
    </w:p>
    <w:p>
      <w:pPr>
        <w:spacing w:before="120" w:after="40"/>
      </w:pPr>
      <w:r>
        <w:rPr>
          <w:b/>
          <w:sz w:val="21"/>
          <w:shd w:fill="D6E4F0" w:val="clear"/>
        </w:rPr>
        <w:t>E项错误</w:t>
      </w:r>
    </w:p>
    <w:p>
      <w:pPr>
        <w:spacing w:line="360" w:lineRule="auto" w:after="40"/>
        <w:ind w:firstLine="420"/>
      </w:pPr>
      <w:r>
        <w:t>透明的定价结构且在价格波动超过10%时主动向银行提供额外信息，体现了良好的信息透明度与合规协作，不属于洗钱风险指标。教材通常将透明度不足或价格异常视为洗钱手段，而非主动披露的合规行为，因此与题干要求不符。</w:t>
      </w:r>
    </w:p>
    <w:p>
      <w:pPr>
        <w:spacing w:before="120" w:after="40"/>
      </w:pPr>
      <w:r>
        <w:rPr>
          <w:b/>
          <w:sz w:val="21"/>
          <w:shd w:fill="D6E4F0" w:val="clear"/>
        </w:rPr>
        <w:t>易错提醒</w:t>
      </w:r>
    </w:p>
    <w:p>
      <w:pPr>
        <w:spacing w:line="360" w:lineRule="auto" w:after="40"/>
        <w:ind w:firstLine="420"/>
      </w:pPr>
      <w:r>
        <w:t>正常贸易单据的完整与详细程度本身不是风险指标。教材通过丹麦银行案例展示了虚假合同和发票被用于为非法交易提供表面合法性</w:t>
      </w:r>
      <w:r>
        <w:rPr>
          <w:sz w:val="15"/>
          <w:vertAlign w:val="superscript"/>
        </w:rPr>
        <w:t>P56</w:t>
      </w:r>
      <w:r>
        <w:t>，但真正可疑的是文档缺失、不一致或明显伪造，而非内容详细的正规单据。</w:t>
      </w:r>
    </w:p>
    <w:p>
      <w:pPr>
        <w:spacing w:line="360" w:lineRule="auto" w:after="120"/>
      </w:pPr>
      <w:r/>
    </w:p>
    <w:p>
      <w:pPr>
        <w:spacing w:line="360" w:lineRule="auto" w:after="40"/>
      </w:pPr>
      <w:r>
        <w:t>5. Common risks and red flags associated with trade finance clients may include: (Choose four.) ( )</w:t>
      </w:r>
    </w:p>
    <w:p>
      <w:pPr>
        <w:spacing w:line="360" w:lineRule="auto" w:after="20"/>
        <w:ind w:firstLine="283"/>
      </w:pPr>
      <w:r>
        <w:t>A. Account activity that is not consistent with the purpose of the account</w:t>
      </w:r>
    </w:p>
    <w:p>
      <w:pPr>
        <w:spacing w:line="360" w:lineRule="auto" w:after="20"/>
        <w:ind w:firstLine="283"/>
      </w:pPr>
      <w:r>
        <w:t>B. Bills of lading matching the description of goods, quantities, and values, with transshipment details justified</w:t>
      </w:r>
    </w:p>
    <w:p>
      <w:pPr>
        <w:spacing w:line="360" w:lineRule="auto" w:after="20"/>
        <w:ind w:firstLine="283"/>
      </w:pPr>
      <w:r>
        <w:t>C. Transaction structures that appear unnecessarily complex</w:t>
      </w:r>
    </w:p>
    <w:p>
      <w:pPr>
        <w:spacing w:line="360" w:lineRule="auto" w:after="20"/>
        <w:ind w:firstLine="283"/>
      </w:pPr>
      <w:r>
        <w:t>D. Trade documents, such as invoices and letters of credit, that are not clearly worded or are in foreign languages</w:t>
      </w:r>
    </w:p>
    <w:p>
      <w:pPr>
        <w:spacing w:line="360" w:lineRule="auto" w:after="20"/>
        <w:ind w:firstLine="283"/>
      </w:pPr>
      <w:r>
        <w:t>E. Invoices with prices that are much higher than market price</w:t>
      </w:r>
    </w:p>
    <w:p>
      <w:pPr>
        <w:spacing w:line="360" w:lineRule="auto" w:after="20"/>
        <w:ind w:firstLine="283"/>
      </w:pPr>
      <w:r>
        <w:t>F. Fluctuations in prices of standard goods and services</w:t>
      </w:r>
    </w:p>
    <w:p>
      <w:pPr>
        <w:spacing w:line="360" w:lineRule="auto" w:after="40"/>
      </w:pPr>
      <w:r>
        <w:t>答案：A、C、D、E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识别贸易融资场景中的异常交易结构、单据问题及价格操纵等风险信号</w:t>
      </w:r>
    </w:p>
    <w:p>
      <w:pPr>
        <w:spacing w:before="120" w:after="40"/>
      </w:pPr>
      <w:r>
        <w:rPr>
          <w:b/>
          <w:sz w:val="21"/>
          <w:shd w:fill="D6E4F0" w:val="clear"/>
        </w:rPr>
        <w:t>核心解析</w:t>
      </w:r>
    </w:p>
    <w:p>
      <w:pPr>
        <w:spacing w:line="360" w:lineRule="auto" w:after="40"/>
        <w:ind w:firstLine="420"/>
      </w:pPr>
      <w:r>
        <w:t>贸易型洗钱指犯罪分子利用贸易交易掩饰犯罪所得、转移价值的洗钱方法，常见手法包括对进出口货物的价格、数量或质量进行不实描述</w:t>
      </w:r>
      <w:r>
        <w:rPr>
          <w:sz w:val="15"/>
          <w:vertAlign w:val="superscript"/>
        </w:rPr>
        <w:t>P131</w:t>
      </w:r>
      <w:r>
        <w:t>。本题中，A项“与账户用途不符的账户活动”是教材明确列举的风险指标，账户活动与其目的不一致属于异常信号</w:t>
      </w:r>
      <w:r>
        <w:rPr>
          <w:sz w:val="15"/>
          <w:vertAlign w:val="superscript"/>
        </w:rPr>
        <w:t>P138</w:t>
      </w:r>
      <w:r>
        <w:t>；C项“看似不必要的复杂的交易结构”与教材所述“第三方指令增加复杂性，使资金来源更难追踪”的风险相吻合</w:t>
      </w:r>
      <w:r>
        <w:rPr>
          <w:sz w:val="15"/>
          <w:vertAlign w:val="superscript"/>
        </w:rPr>
        <w:t>P66</w:t>
      </w:r>
      <w:r>
        <w:t>；D项“贸易单据措辞不清晰或为外文书写”，虽然教材未将『外文书写』直接列为风险指标，但信用证和发票是贸易型洗钱中操纵价格、虚构交易的关键载体</w:t>
      </w:r>
      <w:r>
        <w:rPr>
          <w:sz w:val="15"/>
          <w:vertAlign w:val="superscript"/>
        </w:rPr>
        <w:t>P131</w:t>
      </w:r>
      <w:r>
        <w:t>，单据本身缺乏清晰性将显著增加金融机构识别和验证交易真实性的难度；E项“价格远高于市场价格的发票”直接对应高开发票手法——以高于公平市场价的价格销售商品或服务，使卖方获得超出货物实际价值的付款，是典型的贸易型洗钱警示信号</w:t>
      </w:r>
      <w:r>
        <w:rPr>
          <w:sz w:val="15"/>
          <w:vertAlign w:val="superscript"/>
        </w:rPr>
        <w:t>P131</w:t>
      </w:r>
      <w:r>
        <w:t>。</w:t>
      </w:r>
    </w:p>
    <w:p>
      <w:pPr>
        <w:spacing w:before="120" w:after="40"/>
      </w:pPr>
      <w:r>
        <w:rPr>
          <w:b/>
          <w:sz w:val="21"/>
          <w:shd w:fill="D6E4F0" w:val="clear"/>
        </w:rPr>
        <w:t>B项错误</w:t>
      </w:r>
    </w:p>
    <w:p>
      <w:pPr>
        <w:spacing w:line="360" w:lineRule="auto" w:after="40"/>
        <w:ind w:firstLine="420"/>
      </w:pPr>
      <w:r>
        <w:t>选项B描述的是提单信息与货物描述、数量、价值相符且转运详情合理的情形，这属于正常贸易的特征。题干要求识别“风险”和“警示信号”，匹配度不如A、C、D、E所描述的异常或可疑情形。</w:t>
      </w:r>
    </w:p>
    <w:p>
      <w:pPr>
        <w:spacing w:line="360" w:lineRule="auto" w:after="40"/>
        <w:ind w:firstLine="420"/>
      </w:pPr>
      <w:r>
        <w:t>F项错误：标准商品和服务价格的波动是市场价格机制的正常表现，教材未将其纳入贸易融资的风险或警示信号范畴。相比之下，E项的价格偏离（远高于市场价）才对应教材明确界定的高开发票洗钱手法。</w:t>
      </w:r>
    </w:p>
    <w:p>
      <w:pPr>
        <w:spacing w:before="120" w:after="40"/>
      </w:pPr>
      <w:r>
        <w:rPr>
          <w:b/>
          <w:sz w:val="21"/>
          <w:shd w:fill="D6E4F0" w:val="clear"/>
        </w:rPr>
        <w:t>易错提醒</w:t>
      </w:r>
    </w:p>
    <w:p>
      <w:pPr>
        <w:spacing w:line="360" w:lineRule="auto" w:after="40"/>
        <w:ind w:firstLine="420"/>
      </w:pPr>
      <w:r>
        <w:t>贸易型洗钱中的价格操纵（高开/低开发票）与资产估值不一致的风险信号虽然都涉及价格偏离，但分属不同场景。前者特指进出口贸易中通过发票价格操控转移价值</w:t>
      </w:r>
      <w:r>
        <w:rPr>
          <w:sz w:val="15"/>
          <w:vertAlign w:val="superscript"/>
        </w:rPr>
        <w:t>P131</w:t>
      </w:r>
      <w:r>
        <w:t>，后者涉及高价值资产交易中资产定价偏离市场价值</w:t>
      </w:r>
      <w:r>
        <w:rPr>
          <w:sz w:val="15"/>
          <w:vertAlign w:val="superscript"/>
        </w:rPr>
        <w:t>P129</w:t>
      </w:r>
      <w:r>
        <w:t>。本题题干限定“贸易融资客户”，应优先匹配贸易型洗钱的具体手法。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