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A long-term client of an insurance company makes changes to a policy that require payment of an additional lump sum. The amount payable is high, though within the client's means based on the KYC information collected. The payment is made via a company in another jurisdiction that is known to have lax AML controls. Which indicator of suspicious activity is present? ( )</w:t>
      </w:r>
    </w:p>
    <w:p>
      <w:pPr>
        <w:spacing w:line="360" w:lineRule="auto" w:after="20"/>
        <w:ind w:firstLine="283"/>
      </w:pPr>
      <w:r>
        <w:t>A. A long-term client wants a change to a policy that is already in force</w:t>
      </w:r>
    </w:p>
    <w:p>
      <w:pPr>
        <w:spacing w:line="360" w:lineRule="auto" w:after="20"/>
        <w:ind w:firstLine="283"/>
      </w:pPr>
      <w:r>
        <w:t>B. The payment was made via a company that appears to be owned and controlled by the client being insured</w:t>
      </w:r>
    </w:p>
    <w:p>
      <w:pPr>
        <w:spacing w:line="360" w:lineRule="auto" w:after="20"/>
        <w:ind w:firstLine="283"/>
      </w:pPr>
      <w:r>
        <w:t>C. The additional premium payable appears to be within the client's means based on the KYC information collected</w:t>
      </w:r>
    </w:p>
    <w:p>
      <w:pPr>
        <w:spacing w:line="360" w:lineRule="auto" w:after="20"/>
        <w:ind w:firstLine="283"/>
      </w:pPr>
      <w:r>
        <w:t>D. The payment was made via a company located in a jurisdiction with lax AML controls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识别通过AML薄弱司法管辖区付款的可疑活动迹象</w:t>
      </w:r>
    </w:p>
    <w:p>
      <w:pPr>
        <w:spacing w:before="120" w:after="40"/>
      </w:pPr>
      <w:r>
        <w:rPr>
          <w:b/>
          <w:sz w:val="21"/>
          <w:shd w:fill="D6E4F0" w:val="clear"/>
        </w:rPr>
        <w:t>核心解析</w:t>
      </w:r>
    </w:p>
    <w:p>
      <w:pPr>
        <w:spacing w:line="360" w:lineRule="auto" w:after="40"/>
        <w:ind w:firstLine="420"/>
      </w:pPr>
      <w:r>
        <w:t>来自反洗钱法规薄弱或腐败严重司法管辖区的客户呈现更高风险</w:t>
      </w:r>
      <w:r>
        <w:rPr>
          <w:sz w:val="15"/>
          <w:vertAlign w:val="superscript"/>
        </w:rPr>
        <w:t>P73</w:t>
      </w:r>
      <w:r>
        <w:t>。反洗钱执法松懈的司法管辖区常遭受声誉损害，犯罪分子也利用监管宽松的司法管辖区进行监管套利</w:t>
      </w:r>
      <w:r>
        <w:rPr>
          <w:sz w:val="15"/>
          <w:vertAlign w:val="superscript"/>
        </w:rPr>
        <w:t>P42、P434</w:t>
      </w:r>
      <w:r>
        <w:t>。题干中，付款通过另一司法管辖区的公司进行，且该公司以反洗钱控制薄弱而闻名。这直接构成一个高风险司法管辖区参与交易的可疑迹象——通过这类地区转款，很可能意在利用当地薄弱的反洗钱控制掩盖资金流向。因此D项最直接匹配教材所警示的司法管辖区风险指标。</w:t>
      </w:r>
    </w:p>
    <w:p>
      <w:pPr>
        <w:spacing w:before="120" w:after="40"/>
      </w:pPr>
      <w:r>
        <w:rPr>
          <w:b/>
          <w:sz w:val="21"/>
          <w:shd w:fill="D6E4F0" w:val="clear"/>
        </w:rPr>
        <w:t>教材原句</w:t>
      </w:r>
    </w:p>
    <w:p>
      <w:pPr>
        <w:spacing w:line="360" w:lineRule="auto" w:after="40"/>
        <w:ind w:firstLine="420"/>
      </w:pPr>
      <w:r>
        <w:t>"For example, customers from jurisdictions with weak AML regulations or high levels of corruption present higher risks."</w:t>
      </w:r>
    </w:p>
    <w:p>
      <w:pPr>
        <w:spacing w:before="120" w:after="40"/>
      </w:pPr>
      <w:r>
        <w:rPr>
          <w:b/>
          <w:sz w:val="21"/>
          <w:shd w:fill="D6E4F0" w:val="clear"/>
        </w:rPr>
        <w:t>A项错误</w:t>
      </w:r>
    </w:p>
    <w:p>
      <w:pPr>
        <w:spacing w:line="360" w:lineRule="auto" w:after="40"/>
        <w:ind w:firstLine="420"/>
      </w:pPr>
      <w:r>
        <w:t>“一位长期客户希望对已生效的某项政策进行修改”与题干给出的“一家保险公司的长期客户对其保单进行了变更,需要支付一笔额外的款项.这笔款项数额较大,但根据所收集的客户尽职调查信息,该客户有能力支付.付款是通过另一个司法管辖区的一家公司进行的,而这家公司以反洗钱控制薄弱而闻名.存在哪种可疑活动的迹象？”不一致。</w:t>
      </w:r>
    </w:p>
    <w:p>
      <w:pPr>
        <w:spacing w:before="120" w:after="40"/>
      </w:pPr>
      <w:r>
        <w:rPr>
          <w:b/>
          <w:sz w:val="21"/>
          <w:shd w:fill="D6E4F0" w:val="clear"/>
        </w:rPr>
        <w:t>B项错误</w:t>
      </w:r>
    </w:p>
    <w:p>
      <w:pPr>
        <w:spacing w:line="360" w:lineRule="auto" w:after="40"/>
        <w:ind w:firstLine="420"/>
      </w:pPr>
      <w:r>
        <w:t>题干特意指出付款通过“一家以反洗钱控制薄弱而闻名的公司”所在的司法管辖区进行，可疑指向该管辖区的AML宽松，而非公司所有权归属。教材将来自AML法规薄弱或高度腐败司法管辖区的客户列为高风险</w:t>
      </w:r>
      <w:r>
        <w:rPr>
          <w:sz w:val="15"/>
          <w:vertAlign w:val="superscript"/>
        </w:rPr>
        <w:t>P73</w:t>
      </w:r>
      <w:r>
        <w:t>，本题条件更直接吻合这一风险，而B项仅描述客户可能拥有并控制该公司，未触及司法管辖区风险这一核心信号。</w:t>
      </w:r>
    </w:p>
    <w:p>
      <w:pPr>
        <w:spacing w:before="120" w:after="40"/>
      </w:pPr>
      <w:r>
        <w:rPr>
          <w:b/>
          <w:sz w:val="21"/>
          <w:shd w:fill="D6E4F0" w:val="clear"/>
        </w:rPr>
        <w:t>C项错误</w:t>
      </w:r>
    </w:p>
    <w:p>
      <w:pPr>
        <w:spacing w:line="360" w:lineRule="auto" w:after="40"/>
        <w:ind w:firstLine="420"/>
      </w:pPr>
      <w:r>
        <w:t>“根据所收集的客户尽职调查信息,需额外支付的保费似乎在客户的支付能力范围内.”与题干给出的“一家保险公司的长期客户对其保单进行了变更,需要支付一笔额外的款项.这笔款项数额较大,但根据所收集的客户尽职调查信息,该客户有能力支付.付款是通过另一个司法管辖区的一家公司进行的,而这家公司以反洗钱控制薄弱而闻名.存在哪种可疑活动的迹象？”不一致。</w:t>
      </w:r>
    </w:p>
    <w:p>
      <w:pPr>
        <w:spacing w:before="120" w:after="40"/>
      </w:pPr>
      <w:r>
        <w:rPr>
          <w:b/>
          <w:sz w:val="21"/>
          <w:shd w:fill="D6E4F0" w:val="clear"/>
        </w:rPr>
        <w:t>易错提醒</w:t>
      </w:r>
    </w:p>
    <w:p>
      <w:pPr>
        <w:spacing w:line="360" w:lineRule="auto" w:after="40"/>
        <w:ind w:firstLine="420"/>
      </w:pPr>
      <w:r>
        <w:t>当支付经由第三方公司时，需区分“公司所有权结构”与“司法管辖区风险”。若题干明确点出该公司位于AML控制宽松的司法管辖区，可疑迹象优先指向管辖权风险，而非客户是否拥有该公司。</w:t>
      </w:r>
    </w:p>
    <w:p>
      <w:pPr>
        <w:spacing w:line="360" w:lineRule="auto" w:after="120"/>
      </w:pPr>
      <w:r/>
    </w:p>
    <w:p>
      <w:pPr>
        <w:spacing w:line="360" w:lineRule="auto" w:after="40"/>
      </w:pPr>
      <w:r>
        <w:t>2. Criminals may misuse financial statements prepared by accountants to hide illicit assets. Which of the following scenarios poses the greatest risk of financial statement manipulation by criminals? ( )</w:t>
      </w:r>
    </w:p>
    <w:p>
      <w:pPr>
        <w:spacing w:line="360" w:lineRule="auto" w:after="20"/>
        <w:ind w:firstLine="283"/>
      </w:pPr>
      <w:r>
        <w:t>A. Lack of professional body oversight or lack of required use of accounting and auditing standards in the country of incorporation of the entity</w:t>
      </w:r>
    </w:p>
    <w:p>
      <w:pPr>
        <w:spacing w:line="360" w:lineRule="auto" w:after="20"/>
        <w:ind w:firstLine="283"/>
      </w:pPr>
      <w:r>
        <w:t>B. Criminals posing as individuals seeking financial advice to place assets out of reach to avoid future liabilities</w:t>
      </w:r>
    </w:p>
    <w:p>
      <w:pPr>
        <w:spacing w:line="360" w:lineRule="auto" w:after="20"/>
        <w:ind w:firstLine="283"/>
      </w:pPr>
      <w:r>
        <w:t>C. Incomplete records being provided during bookkeeping, making them difficult to audit</w:t>
      </w:r>
    </w:p>
    <w:p>
      <w:pPr>
        <w:spacing w:line="360" w:lineRule="auto" w:after="20"/>
        <w:ind w:firstLine="283"/>
      </w:pPr>
      <w:r>
        <w:t>D. Accountants being used as intermediaries to introduce criminals to financial institutions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识别监管缺失如何为财务报表操纵提供环境</w:t>
      </w:r>
    </w:p>
    <w:p>
      <w:pPr>
        <w:spacing w:before="120" w:after="40"/>
      </w:pPr>
      <w:r>
        <w:rPr>
          <w:b/>
          <w:sz w:val="21"/>
          <w:shd w:fill="D6E4F0" w:val="clear"/>
        </w:rPr>
        <w:t>核心解析</w:t>
      </w:r>
    </w:p>
    <w:p>
      <w:pPr>
        <w:spacing w:line="360" w:lineRule="auto" w:after="40"/>
        <w:ind w:firstLine="420"/>
      </w:pPr>
      <w:r>
        <w:t>教材指出，犯罪分子倾向于选择监管宽松或税收优惠的司法管辖区，以隐藏金融活动</w:t>
      </w:r>
      <w:r>
        <w:rPr>
          <w:sz w:val="15"/>
          <w:vertAlign w:val="superscript"/>
        </w:rPr>
        <w:t>P76</w:t>
      </w:r>
      <w:r>
        <w:t>。选项A直接描述了实体注册国缺乏专业机构监管、未强制要求使用会计和审计标准的情形，这正属于典型的监管宽松环境。监管缺位意味着编制财务报表时没有必须遵循的统一标准，也缺少独立审计的制衡，从而使犯罪分子操纵报表成为可能。相比之下，其他选项虽也涉及洗钱手法或薄弱环节，但均未从制度层面直接提供操纵财务报表的便利条件，因此A最直接匹配题干所问的“导致操纵”的风险。</w:t>
      </w:r>
    </w:p>
    <w:p>
      <w:pPr>
        <w:spacing w:before="120" w:after="40"/>
      </w:pPr>
      <w:r>
        <w:rPr>
          <w:b/>
          <w:sz w:val="21"/>
          <w:shd w:fill="D6E4F0" w:val="clear"/>
        </w:rPr>
        <w:t>教材原句</w:t>
      </w:r>
    </w:p>
    <w:p>
      <w:pPr>
        <w:spacing w:line="360" w:lineRule="auto" w:after="40"/>
        <w:ind w:firstLine="420"/>
      </w:pPr>
      <w:r>
        <w:t>"Criminals might select jurisdictions that have lenient regulatory oversight or tax-friendly environments. This enables them to hide their financial activities and minimize tax liabilities."</w:t>
      </w:r>
    </w:p>
    <w:p>
      <w:pPr>
        <w:spacing w:before="120" w:after="40"/>
      </w:pPr>
      <w:r>
        <w:rPr>
          <w:b/>
          <w:sz w:val="21"/>
          <w:shd w:fill="D6E4F0" w:val="clear"/>
        </w:rPr>
        <w:t>B项错误</w:t>
      </w:r>
    </w:p>
    <w:p>
      <w:pPr>
        <w:spacing w:line="360" w:lineRule="auto" w:after="40"/>
        <w:ind w:firstLine="420"/>
      </w:pPr>
      <w:r>
        <w:t>选项B描述犯罪分子假扮客户转移资产以逃避责任，侧重于资产藏匿和个人责任规避，教材中相关行为（如分散活动规避检测，P237）属于通用反侦察手段，并未聚焦财务报表编制环节，因此与“操纵财务报表”的制度性风险因素匹配度不如A。</w:t>
      </w:r>
    </w:p>
    <w:p>
      <w:pPr>
        <w:spacing w:before="120" w:after="40"/>
      </w:pPr>
      <w:r>
        <w:rPr>
          <w:b/>
          <w:sz w:val="21"/>
          <w:shd w:fill="D6E4F0" w:val="clear"/>
        </w:rPr>
        <w:t>C项错误</w:t>
      </w:r>
    </w:p>
    <w:p>
      <w:pPr>
        <w:spacing w:line="360" w:lineRule="auto" w:after="40"/>
        <w:ind w:firstLine="420"/>
      </w:pPr>
      <w:r>
        <w:t>选项C指向记账记录不完整导致审计困难。教材中与此相关的是“缺乏透明度使获取完整信息困难”</w:t>
      </w:r>
      <w:r>
        <w:rPr>
          <w:sz w:val="15"/>
          <w:vertAlign w:val="superscript"/>
        </w:rPr>
        <w:t>P75</w:t>
      </w:r>
      <w:r>
        <w:t>，但这是操纵可能产生的结果或伴生现象，而非促使操纵发生的根本条件；题干问的是“导致操纵”的原因，制度性监管缺失比记录碎片化更具根本性。</w:t>
      </w:r>
    </w:p>
    <w:p>
      <w:pPr>
        <w:spacing w:before="120" w:after="40"/>
      </w:pPr>
      <w:r>
        <w:rPr>
          <w:b/>
          <w:sz w:val="21"/>
          <w:shd w:fill="D6E4F0" w:val="clear"/>
        </w:rPr>
        <w:t>D项错误</w:t>
      </w:r>
    </w:p>
    <w:p>
      <w:pPr>
        <w:spacing w:line="360" w:lineRule="auto" w:after="40"/>
        <w:ind w:firstLine="420"/>
      </w:pPr>
      <w:r>
        <w:t>选项D涉及会计师作为中介介绍客户给金融机构，教材将此类看门人角色归入DNFBP风险</w:t>
      </w:r>
      <w:r>
        <w:rPr>
          <w:sz w:val="15"/>
          <w:vertAlign w:val="superscript"/>
        </w:rPr>
        <w:t>P119</w:t>
      </w:r>
      <w:r>
        <w:t>，关注的是利用专业身份引入金融系统，与编制或操纵财务报表本身缺少直接关联，在本题中不如缺乏会计审计标准那样直接打开报表操纵之门。</w:t>
      </w:r>
    </w:p>
    <w:p>
      <w:pPr>
        <w:spacing w:before="120" w:after="40"/>
      </w:pPr>
      <w:r>
        <w:rPr>
          <w:b/>
          <w:sz w:val="21"/>
          <w:shd w:fill="D6E4F0" w:val="clear"/>
        </w:rPr>
        <w:t>易错提醒</w:t>
      </w:r>
    </w:p>
    <w:p>
      <w:pPr>
        <w:spacing w:line="360" w:lineRule="auto" w:after="40"/>
        <w:ind w:firstLine="420"/>
      </w:pPr>
      <w:r>
        <w:t>记录不完整（选项C）和监管缺失（选项A）容易混淆。前者是微观执行层面的缺陷，可能只是技术性疏漏；后者是制度环境层面的缺失，直接剥离了制衡机制，为蓄意操纵财务报表提供系统性机会。在判断“最有可能导致操纵”时，制度诱因优于操作瑕疵。</w:t>
      </w:r>
    </w:p>
    <w:p>
      <w:pPr>
        <w:spacing w:line="360" w:lineRule="auto" w:after="120"/>
      </w:pPr>
      <w:r/>
    </w:p>
    <w:p>
      <w:pPr>
        <w:spacing w:line="360" w:lineRule="auto" w:after="40"/>
      </w:pPr>
      <w:r>
        <w:t>3. In which of the following scenarios should the customer be deemed to have an overly complex ownership structure? ( )</w:t>
      </w:r>
    </w:p>
    <w:p>
      <w:pPr>
        <w:spacing w:line="360" w:lineRule="auto" w:after="20"/>
        <w:ind w:firstLine="283"/>
      </w:pPr>
      <w:r>
        <w:t>A. A privately held company owned by two individuals whose interests are held by a series of trusts and foundations</w:t>
      </w:r>
    </w:p>
    <w:p>
      <w:pPr>
        <w:spacing w:line="360" w:lineRule="auto" w:after="20"/>
        <w:ind w:firstLine="283"/>
      </w:pPr>
      <w:r>
        <w:t>B. A trust set up with two co-trustees, one of whom is the grantor and the other is a corporate service provider</w:t>
      </w:r>
    </w:p>
    <w:p>
      <w:pPr>
        <w:spacing w:line="360" w:lineRule="auto" w:after="20"/>
        <w:ind w:firstLine="283"/>
      </w:pPr>
      <w:r>
        <w:t>C. A customer that is owned by two families with the involvement of over a dozen owners within the families</w:t>
      </w:r>
    </w:p>
    <w:p>
      <w:pPr>
        <w:spacing w:line="360" w:lineRule="auto" w:after="20"/>
        <w:ind w:firstLine="283"/>
      </w:pPr>
      <w:r>
        <w:t>D. A multinational correspondent bank that has three layers of ownership between it and a publicly traded bank holding company</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通过信托与基金会多层权益掩盖受益所有人的复杂股权结构</w:t>
      </w:r>
    </w:p>
    <w:p>
      <w:pPr>
        <w:spacing w:before="120" w:after="40"/>
      </w:pPr>
      <w:r>
        <w:rPr>
          <w:b/>
          <w:sz w:val="21"/>
          <w:shd w:fill="D6E4F0" w:val="clear"/>
        </w:rPr>
        <w:t>核心解析</w:t>
      </w:r>
    </w:p>
    <w:p>
      <w:pPr>
        <w:spacing w:line="360" w:lineRule="auto" w:after="40"/>
        <w:ind w:firstLine="420"/>
      </w:pPr>
      <w:r>
        <w:t>教材将“复杂所有权结构”描述为包含多层所有权、使受益所有人难以穿透识别的安排</w:t>
      </w:r>
      <w:r>
        <w:rPr>
          <w:sz w:val="15"/>
          <w:vertAlign w:val="superscript"/>
        </w:rPr>
        <w:t>P73，P312</w:t>
      </w:r>
      <w:r>
        <w:t>。选项A中，一家私人公司尽管只有两个个人直接持有，但其权益由“一系列信托和基金会”持有，这就在公司和个人之间堆叠了多层法律实体，形成了典型的“多层所有权”——银行在尽职调查时很难看清最终受益所有人是谁。因此，该情形最直接地吻合教材对“过于复杂的股权结构”的定义。</w:t>
      </w:r>
    </w:p>
    <w:p>
      <w:pPr>
        <w:spacing w:before="120" w:after="40"/>
      </w:pPr>
      <w:r>
        <w:rPr>
          <w:b/>
          <w:sz w:val="21"/>
          <w:shd w:fill="D6E4F0" w:val="clear"/>
        </w:rPr>
        <w:t>教材原句</w:t>
      </w:r>
    </w:p>
    <w:p>
      <w:pPr>
        <w:spacing w:line="360" w:lineRule="auto" w:after="40"/>
        <w:ind w:firstLine="420"/>
      </w:pPr>
      <w:r>
        <w:t>"Complex business structures with multiple layers of ownership can obscure the beneficial owners and controllers, making it harder to conduct thorough due diligence."</w:t>
      </w:r>
    </w:p>
    <w:p>
      <w:pPr>
        <w:spacing w:before="120" w:after="40"/>
      </w:pPr>
      <w:r>
        <w:rPr>
          <w:b/>
          <w:sz w:val="21"/>
          <w:shd w:fill="D6E4F0" w:val="clear"/>
        </w:rPr>
        <w:t>B项错误</w:t>
      </w:r>
    </w:p>
    <w:p>
      <w:pPr>
        <w:spacing w:line="360" w:lineRule="auto" w:after="40"/>
        <w:ind w:firstLine="420"/>
      </w:pPr>
      <w:r>
        <w:t>教材允许委托人与受托人为同一人</w:t>
      </w:r>
      <w:r>
        <w:rPr>
          <w:sz w:val="15"/>
          <w:vertAlign w:val="superscript"/>
        </w:rPr>
        <w:t>P73</w:t>
      </w:r>
      <w:r>
        <w:t>，且信托常在公司服务提供商的指导下设立</w:t>
      </w:r>
      <w:r>
        <w:rPr>
          <w:sz w:val="15"/>
          <w:vertAlign w:val="superscript"/>
        </w:rPr>
        <w:t>P73</w:t>
      </w:r>
      <w:r>
        <w:t>，这些特征本身并不必然导致“过于复杂的股权结构”。相比之下，A选项通过一系列信托和基金会叠加形成了典型的多层所有权，更直接匹配教材定义。</w:t>
      </w:r>
    </w:p>
    <w:p>
      <w:pPr>
        <w:spacing w:before="120" w:after="40"/>
      </w:pPr>
      <w:r>
        <w:rPr>
          <w:b/>
          <w:sz w:val="21"/>
          <w:shd w:fill="D6E4F0" w:val="clear"/>
        </w:rPr>
        <w:t>C项错误</w:t>
      </w:r>
    </w:p>
    <w:p>
      <w:pPr>
        <w:spacing w:line="360" w:lineRule="auto" w:after="40"/>
        <w:ind w:firstLine="420"/>
      </w:pPr>
      <w:r>
        <w:t>题干仅指出两个家族涉及十几位所有者，并没有描述多层公司、信托或基金会等法律实体。教材中复杂所有权结构强调的是多层所有权、离岸持股或UBO不明确</w:t>
      </w:r>
      <w:r>
        <w:rPr>
          <w:sz w:val="15"/>
          <w:vertAlign w:val="superscript"/>
        </w:rPr>
        <w:t>P312</w:t>
      </w:r>
      <w:r>
        <w:t>，单是家族成员数量多并不构成该定义下的“过于复杂的股权结构”。</w:t>
      </w:r>
    </w:p>
    <w:p>
      <w:pPr>
        <w:spacing w:before="120" w:after="40"/>
      </w:pPr>
      <w:r>
        <w:rPr>
          <w:b/>
          <w:sz w:val="21"/>
          <w:shd w:fill="D6E4F0" w:val="clear"/>
        </w:rPr>
        <w:t>D项错误</w:t>
      </w:r>
    </w:p>
    <w:p>
      <w:pPr>
        <w:spacing w:line="360" w:lineRule="auto" w:after="40"/>
        <w:ind w:firstLine="420"/>
      </w:pPr>
      <w:r>
        <w:t>代理银行与上市银行控股公司之间的三层所有权关系，在教材关于代理银行的风险描述中并未被列举为复杂股权结构</w:t>
      </w:r>
      <w:r>
        <w:rPr>
          <w:sz w:val="15"/>
          <w:vertAlign w:val="superscript"/>
        </w:rPr>
        <w:t>P83</w:t>
      </w:r>
      <w:r>
        <w:t>，且上市银行控股公司通常信息透明、层级有限。相比之下，A选项的信托和基金会组合更显著地增加了受益所有人穿透的难度。</w:t>
      </w:r>
    </w:p>
    <w:p>
      <w:pPr>
        <w:spacing w:before="120" w:after="40"/>
      </w:pPr>
      <w:r>
        <w:rPr>
          <w:b/>
          <w:sz w:val="21"/>
          <w:shd w:fill="D6E4F0" w:val="clear"/>
        </w:rPr>
        <w:t>易错提醒</w:t>
      </w:r>
    </w:p>
    <w:p>
      <w:pPr>
        <w:spacing w:line="360" w:lineRule="auto" w:after="40"/>
        <w:ind w:firstLine="420"/>
      </w:pPr>
      <w:r>
        <w:t>区分信托的常规安排与多层所有权结构。教材强调复杂股权结构的核心是多层所有权掩盖受益所有人</w:t>
      </w:r>
      <w:r>
        <w:rPr>
          <w:sz w:val="15"/>
          <w:vertAlign w:val="superscript"/>
        </w:rPr>
        <w:t>P73</w:t>
      </w:r>
      <w:r>
        <w:t>，而非单纯存在信托、公司服务提供商或委托人兼任受托人这些信托常见特征。</w:t>
      </w:r>
    </w:p>
    <w:p>
      <w:pPr>
        <w:spacing w:line="360" w:lineRule="auto" w:after="120"/>
      </w:pPr>
      <w:r/>
    </w:p>
    <w:p>
      <w:pPr>
        <w:spacing w:line="360" w:lineRule="auto" w:after="40"/>
      </w:pPr>
      <w:r>
        <w:t>4. Which of the options below is an indicator of potential insider activity that may warrant escalation for further investigation? ( )</w:t>
      </w:r>
    </w:p>
    <w:p>
      <w:pPr>
        <w:spacing w:line="360" w:lineRule="auto" w:after="20"/>
        <w:ind w:firstLine="283"/>
      </w:pPr>
      <w:r>
        <w:t>A. A relationship manager advocates for overriding the results of the company's client risk rating model that resulted in a client's high-risk rating</w:t>
      </w:r>
    </w:p>
    <w:p>
      <w:pPr>
        <w:spacing w:line="360" w:lineRule="auto" w:after="20"/>
        <w:ind w:firstLine="283"/>
      </w:pPr>
      <w:r>
        <w:t>B. An employee shares information about the firm's risk management framework with employees of other firms at an industry convention</w:t>
      </w:r>
    </w:p>
    <w:p>
      <w:pPr>
        <w:spacing w:line="360" w:lineRule="auto" w:after="20"/>
        <w:ind w:firstLine="283"/>
      </w:pPr>
      <w:r>
        <w:t>C. An investigator does not complete the automated transaction monitoring system alerts assigned to them before the time required by company procedures</w:t>
      </w:r>
    </w:p>
    <w:p>
      <w:pPr>
        <w:spacing w:line="360" w:lineRule="auto" w:after="20"/>
        <w:ind w:firstLine="283"/>
      </w:pPr>
      <w:r>
        <w:t>D. A relationship manager violates company policy by opening an account for a customer without recording the customer's passport information for identification purposes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识别关系经理为维护客户关系而忽视风险警示指标的内幕活动特征</w:t>
      </w:r>
    </w:p>
    <w:p>
      <w:pPr>
        <w:spacing w:before="120" w:after="40"/>
      </w:pPr>
      <w:r>
        <w:rPr>
          <w:b/>
          <w:sz w:val="21"/>
          <w:shd w:fill="D6E4F0" w:val="clear"/>
        </w:rPr>
        <w:t>核心解析</w:t>
      </w:r>
    </w:p>
    <w:p>
      <w:pPr>
        <w:spacing w:line="360" w:lineRule="auto" w:after="40"/>
        <w:ind w:firstLine="420"/>
      </w:pPr>
      <w:r>
        <w:t>教材指出，在私人银行和财富管理领域，关系经理为建立和维护与客户的密切关系，可能会忽视警示信号</w:t>
      </w:r>
      <w:r>
        <w:rPr>
          <w:sz w:val="15"/>
          <w:vertAlign w:val="superscript"/>
        </w:rPr>
        <w:t>P71</w:t>
      </w:r>
      <w:r>
        <w:t>。私人银行的文化强调保密与信任，关系经理的薪酬通常与管理的资产规模挂钩，这种利益冲突构成金融犯罪防控的固有风险</w:t>
      </w:r>
      <w:r>
        <w:rPr>
          <w:sz w:val="15"/>
          <w:vertAlign w:val="superscript"/>
        </w:rPr>
        <w:t>P71</w:t>
      </w:r>
      <w:r>
        <w:t>。在本题中，关系经理主张推翻系统基于客观数据得出的高风险评级，正是利用内部职位为客户提供特殊通融的典型内幕活动指标——系统模型是独立于人际关系的客观工具，要求推翻其评级结果，说明关系经理可能在为维护客户关系而压制风险信号。相比之下，教材在讨论客户风险评级时明确指出，当观察数据与静态数据出现差异时，客户风险评级可能需要调整</w:t>
      </w:r>
      <w:r>
        <w:rPr>
          <w:sz w:val="15"/>
          <w:vertAlign w:val="superscript"/>
        </w:rPr>
        <w:t>P469</w:t>
      </w:r>
      <w:r>
        <w:t>，但调整应基于客观证据和正规流程，而非关系经理的个人主张。由此可推断，关系经理绕过模型结果直接干预风险评级，更吻合教材对“内幕活动指标”的定义场景。</w:t>
      </w:r>
    </w:p>
    <w:p>
      <w:pPr>
        <w:spacing w:before="120" w:after="40"/>
      </w:pPr>
      <w:r>
        <w:rPr>
          <w:b/>
          <w:sz w:val="21"/>
          <w:shd w:fill="D6E4F0" w:val="clear"/>
        </w:rPr>
        <w:t>教材原句</w:t>
      </w:r>
    </w:p>
    <w:p>
      <w:pPr>
        <w:spacing w:line="360" w:lineRule="auto" w:after="40"/>
        <w:ind w:firstLine="420"/>
      </w:pPr>
      <w:r>
        <w:t>"The desire to establish and maintain close relationships with their customers might cause relationship managers to overlook warning signs."</w:t>
      </w:r>
    </w:p>
    <w:p>
      <w:pPr>
        <w:spacing w:before="120" w:after="40"/>
      </w:pPr>
      <w:r>
        <w:rPr>
          <w:b/>
          <w:sz w:val="21"/>
          <w:shd w:fill="D6E4F0" w:val="clear"/>
        </w:rPr>
        <w:t>B项错误</w:t>
      </w:r>
    </w:p>
    <w:p>
      <w:pPr>
        <w:spacing w:line="360" w:lineRule="auto" w:after="40"/>
        <w:ind w:firstLine="420"/>
      </w:pPr>
      <w:r>
        <w:t>题干要求的是内幕活动指标，核心是内部人员利用职位为自身或客户谋取不正当利益。员工B分享的是风险管理框架信息，这在行业交流中属于合规文化的推广行为，题干未涉及该信息是否保密或分享是否有不当目的，与内幕活动的匹配度不如A直接——A中关系经理明确谋求推翻系统评级为客户谋利，更符合教材对“关系经理为维护客户关系忽视警示信号”的刻画</w:t>
      </w:r>
      <w:r>
        <w:rPr>
          <w:sz w:val="15"/>
          <w:vertAlign w:val="superscript"/>
        </w:rPr>
        <w:t>P71</w:t>
      </w:r>
      <w:r>
        <w:t>。</w:t>
      </w:r>
    </w:p>
    <w:p>
      <w:pPr>
        <w:spacing w:before="120" w:after="40"/>
      </w:pPr>
      <w:r>
        <w:rPr>
          <w:b/>
          <w:sz w:val="21"/>
          <w:shd w:fill="D6E4F0" w:val="clear"/>
        </w:rPr>
        <w:t>C项错误</w:t>
      </w:r>
    </w:p>
    <w:p>
      <w:pPr>
        <w:spacing w:line="360" w:lineRule="auto" w:after="40"/>
        <w:ind w:firstLine="420"/>
      </w:pPr>
      <w:r>
        <w:t>教材讨论交易监控时提到，监控系统在客户活动超出正常参数时生成警报，由调查人员审查</w:t>
      </w:r>
      <w:r>
        <w:rPr>
          <w:sz w:val="15"/>
          <w:vertAlign w:val="superscript"/>
        </w:rPr>
        <w:t>P328</w:t>
      </w:r>
      <w:r>
        <w:t>。调查人员未按时完成警报处理属于操作合规性问题，是流程效率或资源不足的表现，但延迟本身不等于内幕活动——内幕活动指控需要存在不当动机或利益冲突。题干未提供任何证据表明该延迟是出于利益输送目的，相比之下，A中关系经理主动推翻评级的行为直接体现了教材描述的利益冲突</w:t>
      </w:r>
      <w:r>
        <w:rPr>
          <w:sz w:val="15"/>
          <w:vertAlign w:val="superscript"/>
        </w:rPr>
        <w:t>P71</w:t>
      </w:r>
      <w:r>
        <w:t>。</w:t>
      </w:r>
    </w:p>
    <w:p>
      <w:pPr>
        <w:spacing w:before="120" w:after="40"/>
      </w:pPr>
      <w:r>
        <w:rPr>
          <w:b/>
          <w:sz w:val="21"/>
          <w:shd w:fill="D6E4F0" w:val="clear"/>
        </w:rPr>
        <w:t>D项错误</w:t>
      </w:r>
    </w:p>
    <w:p>
      <w:pPr>
        <w:spacing w:line="360" w:lineRule="auto" w:after="40"/>
        <w:ind w:firstLine="420"/>
      </w:pPr>
      <w:r>
        <w:t>未记录客户护照信息即办理开户，属于客户身份识别程序违规。教材将收集和验证护照等身份证明文件列为客户身份识别程序的核心要求</w:t>
      </w:r>
      <w:r>
        <w:rPr>
          <w:sz w:val="15"/>
          <w:vertAlign w:val="superscript"/>
        </w:rPr>
        <w:t>P309</w:t>
      </w:r>
      <w:r>
        <w:t>，违反这一要求是合规控制缺陷的典型表现。但此类违规更可能源于疏忽、培训不足或流程漏洞，题干未提供任何线索将其与内幕活动——即内部人员利用职位不当为特定客户谋取利益——建立关联。A中关系经理的行为明确指向为客户利益而干预风险判断的动机，更吻合内幕活动指标。</w:t>
      </w:r>
    </w:p>
    <w:p>
      <w:pPr>
        <w:spacing w:before="120" w:after="40"/>
      </w:pPr>
      <w:r>
        <w:rPr>
          <w:b/>
          <w:sz w:val="21"/>
          <w:shd w:fill="D6E4F0" w:val="clear"/>
        </w:rPr>
        <w:t>易错提醒</w:t>
      </w:r>
    </w:p>
    <w:p>
      <w:pPr>
        <w:spacing w:line="360" w:lineRule="auto" w:after="40"/>
        <w:ind w:firstLine="420"/>
      </w:pPr>
      <w:r>
        <w:t>内幕活动指标的核心是内部人员利用职务便利为自身或客户谋取不当利益，表现为主动干预、通融或绕过正常管控流程。违规操作不一定构成内幕活动——未记录护照信息开户可能是疏忽或培训不足；内幕活动也不一定表现为违规操作——推翻风险评级可能是通过走“正规申诉渠道”进行，但其动机和背景使其成为内幕活动指标。区分时关注是否存在关系经理与客户之间的利益纽带（如维护大客户关系、提高个人业绩报酬），以及行为目的是否在于为特定客户获取优于标准的待遇。</w:t>
      </w:r>
    </w:p>
    <w:p>
      <w:pPr>
        <w:spacing w:line="360" w:lineRule="auto" w:after="120"/>
      </w:pPr>
      <w:r/>
    </w:p>
    <w:p>
      <w:pPr>
        <w:spacing w:line="360" w:lineRule="auto" w:after="40"/>
      </w:pPr>
      <w:r>
        <w:t>5. A compliance officer is reviewing an institutional banking prospect proposal for a new foreign entity that is a multinational business but headquartered in a country where most businesses are state-owned. Which risks should be prioritized in the review? (Choose Two.) ( )</w:t>
      </w:r>
    </w:p>
    <w:p>
      <w:pPr>
        <w:spacing w:line="360" w:lineRule="auto" w:after="20"/>
        <w:ind w:firstLine="283"/>
      </w:pPr>
      <w:r>
        <w:t>A. Politically exposed persons (PEPs).</w:t>
      </w:r>
    </w:p>
    <w:p>
      <w:pPr>
        <w:spacing w:line="360" w:lineRule="auto" w:after="20"/>
        <w:ind w:firstLine="283"/>
      </w:pPr>
      <w:r>
        <w:t>B. Capital flight risk.</w:t>
      </w:r>
    </w:p>
    <w:p>
      <w:pPr>
        <w:spacing w:line="360" w:lineRule="auto" w:after="20"/>
        <w:ind w:firstLine="283"/>
      </w:pPr>
      <w:r>
        <w:t>C. Anti-bribery and corruption risk.</w:t>
      </w:r>
    </w:p>
    <w:p>
      <w:pPr>
        <w:spacing w:line="360" w:lineRule="auto" w:after="20"/>
        <w:ind w:firstLine="283"/>
      </w:pPr>
      <w:r>
        <w:t>D. Tax evasion.</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根据国有经济背景识别政治公众人物与反腐败风险</w:t>
      </w:r>
    </w:p>
    <w:p>
      <w:pPr>
        <w:spacing w:before="120" w:after="40"/>
      </w:pPr>
      <w:r>
        <w:rPr>
          <w:b/>
          <w:sz w:val="21"/>
          <w:shd w:fill="D6E4F0" w:val="clear"/>
        </w:rPr>
        <w:t>核心解析</w:t>
      </w:r>
    </w:p>
    <w:p>
      <w:pPr>
        <w:spacing w:line="360" w:lineRule="auto" w:after="40"/>
        <w:ind w:firstLine="420"/>
      </w:pPr>
      <w:r>
        <w:t>政治公众人物（PEP）被视为较高风险</w:t>
      </w:r>
      <w:r>
        <w:rPr>
          <w:sz w:val="15"/>
          <w:vertAlign w:val="superscript"/>
        </w:rPr>
        <w:t>P270</w:t>
      </w:r>
      <w:r>
        <w:t>，客户若为PEP或其密切关联人为PEP，会增加业务的贿赂与腐败风险</w:t>
      </w:r>
      <w:r>
        <w:rPr>
          <w:sz w:val="15"/>
          <w:vertAlign w:val="superscript"/>
        </w:rPr>
        <w:t>P72</w:t>
      </w:r>
      <w:r>
        <w:t>。反贿赂与腐败（ABC）风险评估旨在预防、发现和报告贿赂与腐败，并识别高风险领域</w:t>
      </w:r>
      <w:r>
        <w:rPr>
          <w:sz w:val="15"/>
          <w:vertAlign w:val="superscript"/>
        </w:rPr>
        <w:t>P269</w:t>
      </w:r>
      <w:r>
        <w:t>。题干中的外国机构是跨国企业，总部设在大多数企业为国有的国家，这种背景意味着该机构可能由政治人物控制或与之密切关联，其高管或最终受益人很可能属于PEP，从而显著提升贿赂与腐败风险。在审查银行合作提案时，应优先考虑PEP带来的较高风险，以及与该国国有经济结构密切相关的反贿赂与反腐败风险。</w:t>
      </w:r>
    </w:p>
    <w:p>
      <w:pPr>
        <w:spacing w:before="120" w:after="40"/>
      </w:pPr>
      <w:r>
        <w:rPr>
          <w:b/>
          <w:sz w:val="21"/>
          <w:shd w:fill="D6E4F0" w:val="clear"/>
        </w:rPr>
        <w:t>教材原句</w:t>
      </w:r>
    </w:p>
    <w:p>
      <w:pPr>
        <w:spacing w:line="360" w:lineRule="auto" w:after="40"/>
        <w:ind w:firstLine="420"/>
      </w:pPr>
      <w:r>
        <w:t>"Customers who are considered PEPs or have close associates who are PEPs increase the bribery and corruption risk of the business."</w:t>
      </w:r>
    </w:p>
    <w:p>
      <w:pPr>
        <w:spacing w:before="120" w:after="40"/>
      </w:pPr>
      <w:r>
        <w:rPr>
          <w:b/>
          <w:sz w:val="21"/>
          <w:shd w:fill="D6E4F0" w:val="clear"/>
        </w:rPr>
        <w:t>B项错误</w:t>
      </w:r>
    </w:p>
    <w:p>
      <w:pPr>
        <w:spacing w:line="360" w:lineRule="auto" w:after="40"/>
        <w:ind w:firstLine="420"/>
      </w:pPr>
      <w:r>
        <w:t>资本外逃风险在教材中作为金融犯罪的社会经济后果提及，尤其是在反洗钱措施薄弱的地区会加剧</w:t>
      </w:r>
      <w:r>
        <w:rPr>
          <w:sz w:val="15"/>
          <w:vertAlign w:val="superscript"/>
        </w:rPr>
        <w:t>P42</w:t>
      </w:r>
      <w:r>
        <w:t>，但题干并未指出该国有司法管辖区AML体系薄弱，而是强调“大多数企业为国有”这一所有权结构特征。相比之下，PEP和反腐败风险与国有经济及政治关联的匹配度更直接、更优先。</w:t>
      </w:r>
    </w:p>
    <w:p>
      <w:pPr>
        <w:spacing w:before="120" w:after="40"/>
      </w:pPr>
      <w:r>
        <w:rPr>
          <w:b/>
          <w:sz w:val="21"/>
          <w:shd w:fill="D6E4F0" w:val="clear"/>
        </w:rPr>
        <w:t>D项错误</w:t>
      </w:r>
    </w:p>
    <w:p>
      <w:pPr>
        <w:spacing w:line="360" w:lineRule="auto" w:after="40"/>
        <w:ind w:firstLine="420"/>
      </w:pPr>
      <w:r>
        <w:t>税务欺诈属于洗钱上游犯罪</w:t>
      </w:r>
      <w:r>
        <w:rPr>
          <w:sz w:val="15"/>
          <w:vertAlign w:val="superscript"/>
        </w:rPr>
        <w:t>P22</w:t>
      </w:r>
      <w:r>
        <w:t>，但题干未提及该实体有逃税迹象、跨越多个低税管辖区、或使用复杂架构隐匿所有权等典型的税务欺诈风险因素。在优先审查阶段，与“国有经济”这一背景直接挂钩的政治公众人物风险和腐败风险更加突出，税务欺诈风险缺乏同等程度的触发条件。</w:t>
      </w:r>
    </w:p>
    <w:p>
      <w:pPr>
        <w:spacing w:line="360" w:lineRule="auto" w:after="120"/>
      </w:pPr>
      <w:r/>
    </w:p>
    <w:p>
      <w:pPr>
        <w:spacing w:line="360" w:lineRule="auto" w:after="40"/>
      </w:pPr>
      <w:r>
        <w:t>6. Which techniques would be most efficient for a complex investigation of unusual patterns of activity involving multiple businesses, triggered by an automated monitoring system alert? (Select Two.) ( )</w:t>
      </w:r>
    </w:p>
    <w:p>
      <w:pPr>
        <w:spacing w:line="360" w:lineRule="auto" w:after="20"/>
        <w:ind w:firstLine="283"/>
      </w:pPr>
      <w:r>
        <w:t>A. Perform a control and ownership assessment of the businesses involved, using information available in the client files</w:t>
      </w:r>
    </w:p>
    <w:p>
      <w:pPr>
        <w:spacing w:line="360" w:lineRule="auto" w:after="20"/>
        <w:ind w:firstLine="283"/>
      </w:pPr>
      <w:r>
        <w:t>B. Contact local law enforcement and request that they assist in the analysis and investigation</w:t>
      </w:r>
    </w:p>
    <w:p>
      <w:pPr>
        <w:spacing w:line="360" w:lineRule="auto" w:after="20"/>
        <w:ind w:firstLine="283"/>
      </w:pPr>
      <w:r>
        <w:t>C. Review the information presented in the automated monitoring system's alert description and decline any future transactions</w:t>
      </w:r>
    </w:p>
    <w:p>
      <w:pPr>
        <w:spacing w:line="360" w:lineRule="auto" w:after="20"/>
        <w:ind w:firstLine="283"/>
      </w:pPr>
      <w:r>
        <w:t>D. Contact the relationship manager and ask about the reasons behind the activity pattern highlighted in the AML alert</w:t>
      </w:r>
    </w:p>
    <w:p>
      <w:pPr>
        <w:spacing w:line="360" w:lineRule="auto" w:after="20"/>
        <w:ind w:firstLine="283"/>
      </w:pPr>
      <w:r>
        <w:t>E. Use social media platforms to contact the relevant businesses and request details of account activity</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复杂调查中评估控制权/所有权与询问客户经理的最优顺序</w:t>
      </w:r>
    </w:p>
    <w:p>
      <w:pPr>
        <w:spacing w:before="120" w:after="40"/>
      </w:pPr>
      <w:r>
        <w:rPr>
          <w:b/>
          <w:sz w:val="21"/>
          <w:shd w:fill="D6E4F0" w:val="clear"/>
        </w:rPr>
        <w:t>核心解析</w:t>
      </w:r>
    </w:p>
    <w:p>
      <w:pPr>
        <w:spacing w:line="360" w:lineRule="auto" w:after="40"/>
        <w:ind w:firstLine="420"/>
      </w:pPr>
      <w:r>
        <w:t>涉及多层公司的复杂所有权结构是洗钱红旗信号</w:t>
      </w:r>
      <w:r>
        <w:rPr>
          <w:sz w:val="15"/>
          <w:vertAlign w:val="superscript"/>
        </w:rPr>
        <w:t>P76</w:t>
      </w:r>
      <w:r>
        <w:t>，控制权和所有权在反洗钱工作中至关重要，常被隐匿以掩饰犯罪活动</w:t>
      </w:r>
      <w:r>
        <w:rPr>
          <w:sz w:val="15"/>
          <w:vertAlign w:val="superscript"/>
        </w:rPr>
        <w:t>P59</w:t>
      </w:r>
      <w:r>
        <w:t>。题干中“涉及多家企业的异常活动模式”直接指向需穿透企业结构、厘清控制与所有权关系，因此利用客户档案进行控制权和所有权评估是高效的第一步内部技术。同时，教材在内部观察数据的示例中说明，调查员发现客户交易模式异常时应标记并临时提高风险评级，由此触发关系经理的审查</w:t>
      </w:r>
      <w:r>
        <w:rPr>
          <w:sz w:val="15"/>
          <w:vertAlign w:val="superscript"/>
        </w:rPr>
        <w:t>P468</w:t>
      </w:r>
      <w:r>
        <w:t>。联系客户经理询问活动模式背后的原因，与这一调查流程直接吻合，能快速获取内部业务视角的解释。两项技术均位于调查初期、内部信息收集阶段，对复杂多企业场景最为高效。</w:t>
      </w:r>
    </w:p>
    <w:p>
      <w:pPr>
        <w:spacing w:before="120" w:after="40"/>
      </w:pPr>
      <w:r>
        <w:rPr>
          <w:b/>
          <w:sz w:val="21"/>
          <w:shd w:fill="D6E4F0" w:val="clear"/>
        </w:rPr>
        <w:t>教材原句</w:t>
      </w:r>
    </w:p>
    <w:p>
      <w:pPr>
        <w:spacing w:line="360" w:lineRule="auto" w:after="40"/>
        <w:ind w:firstLine="420"/>
      </w:pPr>
      <w:r>
        <w:t>"Complex ownership structures involving multiple layers of companies"</w:t>
      </w:r>
    </w:p>
    <w:p>
      <w:pPr>
        <w:spacing w:before="120" w:after="40"/>
      </w:pPr>
      <w:r>
        <w:rPr>
          <w:b/>
          <w:sz w:val="21"/>
          <w:shd w:fill="D6E4F0" w:val="clear"/>
        </w:rPr>
        <w:t>B项错误</w:t>
      </w:r>
    </w:p>
    <w:p>
      <w:pPr>
        <w:spacing w:line="360" w:lineRule="auto" w:after="40"/>
        <w:ind w:firstLine="420"/>
      </w:pPr>
      <w:r>
        <w:t>教材指出应在完成组织调查后将案件移交执法部门</w:t>
      </w:r>
      <w:r>
        <w:rPr>
          <w:sz w:val="15"/>
          <w:vertAlign w:val="superscript"/>
        </w:rPr>
        <w:t>P361</w:t>
      </w:r>
      <w:r>
        <w:t>，而非在调查初期请求执法部门协助分析调查。题干问的是“最为高效”的调查技术，内部信息收集阶段优先于对外求助，因此正确项A和D比直接联系执法部门更匹配这一阶段的效率要求。</w:t>
      </w:r>
    </w:p>
    <w:p>
      <w:pPr>
        <w:spacing w:before="120" w:after="40"/>
      </w:pPr>
      <w:r>
        <w:rPr>
          <w:b/>
          <w:sz w:val="21"/>
          <w:shd w:fill="D6E4F0" w:val="clear"/>
        </w:rPr>
        <w:t>C项错误</w:t>
      </w:r>
    </w:p>
    <w:p>
      <w:pPr>
        <w:spacing w:line="360" w:lineRule="auto" w:after="40"/>
        <w:ind w:firstLine="420"/>
      </w:pPr>
      <w:r>
        <w:t>发现异常活动后必须审查案件事实并决定是否提交可疑交易报告</w:t>
      </w:r>
      <w:r>
        <w:rPr>
          <w:sz w:val="15"/>
          <w:vertAlign w:val="superscript"/>
        </w:rPr>
        <w:t>P357</w:t>
      </w:r>
      <w:r>
        <w:t>，仅查看警报描述并拒绝未来交易跳过关键审查步骤，既不符合调查流程，也远不如评估控制权所有权和询问客户经理那样能触及活动模式背后的真实原因。</w:t>
      </w:r>
    </w:p>
    <w:p>
      <w:pPr>
        <w:spacing w:before="120" w:after="40"/>
      </w:pPr>
      <w:r>
        <w:rPr>
          <w:b/>
          <w:sz w:val="21"/>
          <w:shd w:fill="D6E4F0" w:val="clear"/>
        </w:rPr>
        <w:t>E项错误</w:t>
      </w:r>
    </w:p>
    <w:p>
      <w:pPr>
        <w:spacing w:line="360" w:lineRule="auto" w:after="40"/>
        <w:ind w:firstLine="420"/>
      </w:pPr>
      <w:r>
        <w:t>社交媒体资料可以提供客户或相关方的额外背景信息</w:t>
      </w:r>
      <w:r>
        <w:rPr>
          <w:sz w:val="15"/>
          <w:vertAlign w:val="superscript"/>
        </w:rPr>
        <w:t>P338</w:t>
      </w:r>
      <w:r>
        <w:t>，但题干未提及利用社交媒体直接联系企业请求提供账户活动详细信息这一手段的正当性或有效性。相比之下，通过客户经理获取内部解释（D）更符合教材展示的调查路径，且不会把非公开信息请求推向外部分散的渠道。</w:t>
      </w:r>
    </w:p>
    <w:p>
      <w:pPr>
        <w:spacing w:before="120" w:after="40"/>
      </w:pPr>
      <w:r>
        <w:rPr>
          <w:b/>
          <w:sz w:val="21"/>
          <w:shd w:fill="D6E4F0" w:val="clear"/>
        </w:rPr>
        <w:t>易错提醒</w:t>
      </w:r>
    </w:p>
    <w:p>
      <w:pPr>
        <w:spacing w:line="360" w:lineRule="auto" w:after="40"/>
        <w:ind w:firstLine="420"/>
      </w:pPr>
      <w:r>
        <w:t>联系执法部门的时机：教材说明应“在完成组织调查后将案件移交执法部门”</w:t>
      </w:r>
      <w:r>
        <w:rPr>
          <w:sz w:val="15"/>
          <w:vertAlign w:val="superscript"/>
        </w:rPr>
        <w:t>P361</w:t>
      </w:r>
      <w:r>
        <w:t>。调查初期应优先进行内部信息收集、穿透所有权结构、联系客户经理等，待调查完成且需正式移交时再联系执法部门。</w:t>
      </w:r>
    </w:p>
    <w:p>
      <w:pPr>
        <w:spacing w:line="360" w:lineRule="auto" w:after="120"/>
      </w:pPr>
      <w:r/>
    </w:p>
    <w:p>
      <w:pPr>
        <w:spacing w:line="360" w:lineRule="auto" w:after="40"/>
      </w:pPr>
      <w:r>
        <w:t>7. Which money laundering risks are posed by the misuse of trust and asset management services? (Select three.) ( )</w:t>
      </w:r>
    </w:p>
    <w:p>
      <w:pPr>
        <w:spacing w:line="360" w:lineRule="auto" w:after="20"/>
        <w:ind w:firstLine="283"/>
      </w:pPr>
      <w:r>
        <w:t>A. Allowing for third-party custody and safekeeping of funds</w:t>
      </w:r>
    </w:p>
    <w:p>
      <w:pPr>
        <w:spacing w:line="360" w:lineRule="auto" w:after="20"/>
        <w:ind w:firstLine="283"/>
      </w:pPr>
      <w:r>
        <w:t>B. Adding a layer of anonymity to transactions</w:t>
      </w:r>
    </w:p>
    <w:p>
      <w:pPr>
        <w:spacing w:line="360" w:lineRule="auto" w:after="20"/>
        <w:ind w:firstLine="283"/>
      </w:pPr>
      <w:r>
        <w:t>C. Concealing true legal and beneficial owners</w:t>
      </w:r>
    </w:p>
    <w:p>
      <w:pPr>
        <w:spacing w:line="360" w:lineRule="auto" w:after="20"/>
        <w:ind w:firstLine="283"/>
      </w:pPr>
      <w:r>
        <w:t>D. Concealing sources of funds</w:t>
      </w:r>
    </w:p>
    <w:p>
      <w:pPr>
        <w:spacing w:line="360" w:lineRule="auto" w:after="20"/>
        <w:ind w:firstLine="283"/>
      </w:pPr>
      <w:r>
        <w:t>E. Establishing escrow accounts for real estate transactions</w:t>
      </w:r>
    </w:p>
    <w:p>
      <w:pPr>
        <w:spacing w:line="360" w:lineRule="auto" w:after="40"/>
      </w:pPr>
      <w:r>
        <w:t>答案：B、C、D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识别滥用信托与资管服务引发的匿名、隐藏受益所有人及资金来源风险</w:t>
      </w:r>
    </w:p>
    <w:p>
      <w:pPr>
        <w:spacing w:before="120" w:after="40"/>
      </w:pPr>
      <w:r>
        <w:rPr>
          <w:b/>
          <w:sz w:val="21"/>
          <w:shd w:fill="D6E4F0" w:val="clear"/>
        </w:rPr>
        <w:t>核心解析</w:t>
      </w:r>
    </w:p>
    <w:p>
      <w:pPr>
        <w:spacing w:line="360" w:lineRule="auto" w:after="40"/>
        <w:ind w:firstLine="420"/>
      </w:pPr>
      <w:r>
        <w:t>教材指出，信托结构的复杂性与不透明性使追踪资金源头和识别最终受益所有人（UBO）变得困难</w:t>
      </w:r>
      <w:r>
        <w:rPr>
          <w:sz w:val="15"/>
          <w:vertAlign w:val="superscript"/>
        </w:rPr>
        <w:t>P72</w:t>
      </w:r>
      <w:r>
        <w:t>；资产管理服务中，交易常具有匿名性</w:t>
      </w:r>
      <w:r>
        <w:rPr>
          <w:sz w:val="15"/>
          <w:vertAlign w:val="superscript"/>
        </w:rPr>
        <w:t>P105</w:t>
      </w:r>
      <w:r>
        <w:t>；信托或公司服务提供商设立的结构会掩盖受益所有人和资金来源</w:t>
      </w:r>
      <w:r>
        <w:rPr>
          <w:sz w:val="15"/>
          <w:vertAlign w:val="superscript"/>
        </w:rPr>
        <w:t>P120</w:t>
      </w:r>
      <w:r>
        <w:t>。因此，滥用信托和资产管理服务带来的洗钱风险具体表现为：为交易增加一层匿名性（B）、隐瞒真实的法律和受益所有人（C）、使资金来源难以追踪（D）。</w:t>
      </w:r>
    </w:p>
    <w:p>
      <w:pPr>
        <w:spacing w:before="120" w:after="40"/>
      </w:pPr>
      <w:r>
        <w:rPr>
          <w:b/>
          <w:sz w:val="21"/>
          <w:shd w:fill="D6E4F0" w:val="clear"/>
        </w:rPr>
        <w:t>教材原句</w:t>
      </w:r>
    </w:p>
    <w:p>
      <w:pPr>
        <w:spacing w:line="360" w:lineRule="auto" w:after="40"/>
        <w:ind w:firstLine="420"/>
      </w:pPr>
      <w:r>
        <w:t>"The complexity and opacity of trust structures make it difficult to trace the origin of funds and identify the UBO."</w:t>
      </w:r>
    </w:p>
    <w:p>
      <w:pPr>
        <w:spacing w:before="120" w:after="40"/>
      </w:pPr>
      <w:r>
        <w:rPr>
          <w:b/>
          <w:sz w:val="21"/>
          <w:shd w:fill="D6E4F0" w:val="clear"/>
        </w:rPr>
        <w:t>A项错误</w:t>
      </w:r>
    </w:p>
    <w:p>
      <w:pPr>
        <w:spacing w:line="360" w:lineRule="auto" w:after="40"/>
        <w:ind w:firstLine="420"/>
      </w:pPr>
      <w:r>
        <w:t>“允许第三方托管资金保管服务”描述的是信托与资产管理的一项常规功能，而非其被滥用后产生的洗钱风险。正确项B、C、D直接对应滥用所导致的匿名、隐藏受益所有人和掩盖资金来源，与教材界定的风险特征更匹配。</w:t>
      </w:r>
    </w:p>
    <w:p>
      <w:pPr>
        <w:spacing w:before="120" w:after="40"/>
      </w:pPr>
      <w:r>
        <w:rPr>
          <w:b/>
          <w:sz w:val="21"/>
          <w:shd w:fill="D6E4F0" w:val="clear"/>
        </w:rPr>
        <w:t>E项错误</w:t>
      </w:r>
    </w:p>
    <w:p>
      <w:pPr>
        <w:spacing w:line="360" w:lineRule="auto" w:after="40"/>
        <w:ind w:firstLine="420"/>
      </w:pPr>
      <w:r>
        <w:t>“设立房地产交易的托管账户”同样是信托服务的一种具体应用场景，并非滥用直接引发的洗钱风险。教材案例显示房地产交易可能伴随洗钱，但作为风险，题干更支持B、C、D所表达的匿名、隐藏和掩盖特征。</w:t>
      </w:r>
    </w:p>
    <w:p>
      <w:pPr>
        <w:spacing w:before="120" w:after="40"/>
      </w:pPr>
      <w:r>
        <w:rPr>
          <w:b/>
          <w:sz w:val="21"/>
          <w:shd w:fill="D6E4F0" w:val="clear"/>
        </w:rPr>
        <w:t>易错提醒</w:t>
      </w:r>
    </w:p>
    <w:p>
      <w:pPr>
        <w:spacing w:line="360" w:lineRule="auto" w:after="40"/>
        <w:ind w:firstLine="420"/>
      </w:pPr>
      <w:r>
        <w:t>信托与资产管理的常规功能（如托管保管、设立托管账户）是中性工具，并非洗钱风险本身；滥用这些服务产生的风险才是匿名性、隐藏UBO和掩盖资金来源等后果。</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