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CH02 (EN)</w:t>
      </w:r>
    </w:p>
    <w:p>
      <w:pPr>
        <w:spacing w:line="360" w:lineRule="auto" w:after="160"/>
      </w:pPr>
      <w:r>
        <w:t>一、单项选择题</w:t>
      </w:r>
    </w:p>
    <w:p>
      <w:pPr>
        <w:spacing w:line="360" w:lineRule="auto" w:after="40"/>
      </w:pPr>
      <w:r>
        <w:t>1. Which red flag is most relevant to money laundering through capital markets? ( )</w:t>
      </w:r>
    </w:p>
    <w:p>
      <w:pPr>
        <w:spacing w:line="360" w:lineRule="auto" w:after="20"/>
        <w:ind w:firstLine="283"/>
      </w:pPr>
      <w:r>
        <w:t>A. A low-priced security sees a sudden spike in investor demand with a rising price</w:t>
      </w:r>
    </w:p>
    <w:p>
      <w:pPr>
        <w:spacing w:line="360" w:lineRule="auto" w:after="20"/>
        <w:ind w:firstLine="283"/>
      </w:pPr>
      <w:r>
        <w:t>B. A trading customer maintains a portfolio of securities concentrated in one specific emerging market</w:t>
      </w:r>
    </w:p>
    <w:p>
      <w:pPr>
        <w:spacing w:line="360" w:lineRule="auto" w:after="20"/>
        <w:ind w:firstLine="283"/>
      </w:pPr>
      <w:r>
        <w:t>C. A firm sees an unexpected increase in demand for electronically traded funds</w:t>
      </w:r>
    </w:p>
    <w:p>
      <w:pPr>
        <w:spacing w:line="360" w:lineRule="auto" w:after="20"/>
        <w:ind w:firstLine="283"/>
      </w:pPr>
      <w:r>
        <w:t>D. A security sees a transaction pattern of a steady decrease in both trading volume and prices</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识别资本市场中通过制造虚假供需操纵价格的洗钱风险信号</w:t>
      </w:r>
    </w:p>
    <w:p>
      <w:pPr>
        <w:spacing w:before="120" w:after="40"/>
      </w:pPr>
      <w:r>
        <w:rPr>
          <w:b/>
          <w:sz w:val="21"/>
          <w:shd w:fill="D6E4F0" w:val="clear"/>
        </w:rPr>
        <w:t>核心解析</w:t>
      </w:r>
    </w:p>
    <w:p>
      <w:pPr>
        <w:spacing w:line="360" w:lineRule="auto" w:after="40"/>
        <w:ind w:firstLine="420"/>
      </w:pPr>
      <w:r>
        <w:t>资本市场因高流动性、高交易量和复杂性而呈现显著的洗钱风险</w:t>
      </w:r>
      <w:r>
        <w:rPr>
          <w:sz w:val="15"/>
          <w:vertAlign w:val="superscript"/>
        </w:rPr>
        <w:t>P84</w:t>
      </w:r>
      <w:r>
        <w:t>。教材列举了多种利用市场操纵来掩饰非法资金流动的手法，其中虚假订单（Spoofing）指“下达虚假订单以操纵证券市场价格，制造供需假象，使交易者从由此引发的价格波动中获利”</w:t>
      </w:r>
      <w:r>
        <w:rPr>
          <w:sz w:val="15"/>
          <w:vertAlign w:val="superscript"/>
        </w:rPr>
        <w:t>P78</w:t>
      </w:r>
      <w:r>
        <w:t>。这种手法的核心是通过人为制造出来的交易活跃度来扭曲价格，从而将非法资金伪装成正常的投资收益。选项A描述一只低价股突然受到追捧、股价飙升，与虚假订单制造虚假需求的模式高度吻合——突然且无合理理由的需求激增和价格拉升，正是教材定义的通过操纵市场来洗钱或产生非法收益的典型红旗信号。相比之下，其他选项所描述的情形在教材框架下与洗钱的直接关联更弱。</w:t>
      </w:r>
    </w:p>
    <w:p>
      <w:pPr>
        <w:spacing w:before="120" w:after="40"/>
      </w:pPr>
      <w:r>
        <w:rPr>
          <w:b/>
          <w:sz w:val="21"/>
          <w:shd w:fill="D6E4F0" w:val="clear"/>
        </w:rPr>
        <w:t>教材原句</w:t>
      </w:r>
    </w:p>
    <w:p>
      <w:pPr>
        <w:spacing w:line="360" w:lineRule="auto" w:after="40"/>
        <w:ind w:firstLine="420"/>
      </w:pPr>
      <w:r>
        <w:t>"Spoofing: Placing fake orders to manipulate the market price of securities, creating the illusion of supply and demand, allowing traders to profit from the resulting price movements."</w:t>
      </w:r>
    </w:p>
    <w:p>
      <w:pPr>
        <w:spacing w:before="120" w:after="40"/>
      </w:pPr>
      <w:r>
        <w:rPr>
          <w:b/>
          <w:sz w:val="21"/>
          <w:shd w:fill="D6E4F0" w:val="clear"/>
        </w:rPr>
        <w:t>B项错误</w:t>
      </w:r>
    </w:p>
    <w:p>
      <w:pPr>
        <w:spacing w:line="360" w:lineRule="auto" w:after="40"/>
        <w:ind w:firstLine="420"/>
      </w:pPr>
      <w:r>
        <w:t>题干未提供任何教材依据将“持有集中于特定新兴市场的投资组合”本身定义为洗钱红旗信号。单纯的投资集中度更像一种投资策略或风险偏好，缺乏像选项A那样与市场操纵行为的直接关联，因此匹配度不如A。</w:t>
      </w:r>
    </w:p>
    <w:p>
      <w:pPr>
        <w:spacing w:before="120" w:after="40"/>
      </w:pPr>
      <w:r>
        <w:rPr>
          <w:b/>
          <w:sz w:val="21"/>
          <w:shd w:fill="D6E4F0" w:val="clear"/>
        </w:rPr>
        <w:t>C项错误</w:t>
      </w:r>
    </w:p>
    <w:p>
      <w:pPr>
        <w:spacing w:line="360" w:lineRule="auto" w:after="40"/>
        <w:ind w:firstLine="420"/>
      </w:pPr>
      <w:r>
        <w:t>教材指出电子交易平台的高速度和高交易量增加了监控难度</w:t>
      </w:r>
      <w:r>
        <w:rPr>
          <w:sz w:val="15"/>
          <w:vertAlign w:val="superscript"/>
        </w:rPr>
        <w:t>P104</w:t>
      </w:r>
      <w:r>
        <w:t>，这是一种行业背景风险，但“对电子交易基金的需求意外增加”本身未被教材列为具体的洗钱红旗信号。题干也没有说明该需求增加是源于操纵行为，因此其作为洗钱信号的直接性不如A。</w:t>
      </w:r>
    </w:p>
    <w:p>
      <w:pPr>
        <w:spacing w:before="120" w:after="40"/>
      </w:pPr>
      <w:r>
        <w:rPr>
          <w:b/>
          <w:sz w:val="21"/>
          <w:shd w:fill="D6E4F0" w:val="clear"/>
        </w:rPr>
        <w:t>D项错误</w:t>
      </w:r>
    </w:p>
    <w:p>
      <w:pPr>
        <w:spacing w:line="360" w:lineRule="auto" w:after="40"/>
        <w:ind w:firstLine="420"/>
      </w:pPr>
      <w:r>
        <w:t>洗钱活动通常需要将非法资金混入合法的、活跃的资金流中，这更可能体现在异常的价格上涨或交易量放大上。持续的量价双降是一种消极的市场表现，与通过制造虚假繁荣来洗钱的典型方向相反，题干条件更支持A而非D。</w:t>
      </w:r>
    </w:p>
    <w:p>
      <w:pPr>
        <w:spacing w:line="360" w:lineRule="auto" w:after="120"/>
      </w:pPr>
      <w:r/>
    </w:p>
    <w:p>
      <w:pPr>
        <w:spacing w:line="360" w:lineRule="auto" w:after="40"/>
      </w:pPr>
      <w:r>
        <w:t>2. In which of the following situations would it be most crucial for the designated AML compliance officer of a company to perform a complete review of the company's AML program, including identifying the risks and commensurate controls? ( )</w:t>
      </w:r>
    </w:p>
    <w:p>
      <w:pPr>
        <w:spacing w:line="360" w:lineRule="auto" w:after="20"/>
        <w:ind w:firstLine="283"/>
      </w:pPr>
      <w:r>
        <w:t>A. An external audit highlights several deficiencies</w:t>
      </w:r>
    </w:p>
    <w:p>
      <w:pPr>
        <w:spacing w:line="360" w:lineRule="auto" w:after="20"/>
        <w:ind w:firstLine="283"/>
      </w:pPr>
      <w:r>
        <w:t>B. The company is merging with or acquiring another entity</w:t>
      </w:r>
    </w:p>
    <w:p>
      <w:pPr>
        <w:spacing w:line="360" w:lineRule="auto" w:after="20"/>
        <w:ind w:firstLine="283"/>
      </w:pPr>
      <w:r>
        <w:t>C. Extensive AML legislation is proposed by a legislative body in the company's jurisdiction</w:t>
      </w:r>
    </w:p>
    <w:p>
      <w:pPr>
        <w:spacing w:line="360" w:lineRule="auto" w:after="20"/>
        <w:ind w:firstLine="283"/>
      </w:pPr>
      <w:r>
        <w:t>D. A high-profile money laundering case involving another industry is publicized</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并购导致风险状况变化，触发全面审查反洗钱计划</w:t>
      </w:r>
    </w:p>
    <w:p>
      <w:pPr>
        <w:spacing w:before="120" w:after="40"/>
      </w:pPr>
      <w:r>
        <w:rPr>
          <w:b/>
          <w:sz w:val="21"/>
          <w:shd w:fill="D6E4F0" w:val="clear"/>
        </w:rPr>
        <w:t>核心解析</w:t>
      </w:r>
    </w:p>
    <w:p>
      <w:pPr>
        <w:spacing w:line="360" w:lineRule="auto" w:after="40"/>
        <w:ind w:firstLine="420"/>
      </w:pPr>
      <w:r>
        <w:t>法律与合规审查确保并购交易遵守相关法律法规，包括对被收购公司的合规审查</w:t>
      </w:r>
      <w:r>
        <w:rPr>
          <w:sz w:val="15"/>
          <w:vertAlign w:val="superscript"/>
        </w:rPr>
        <w:t>P81</w:t>
      </w:r>
      <w:r>
        <w:t>。同时，合并可能导致组织风险偏好变化，纳入高风险活动，需要重新评估风险</w:t>
      </w:r>
      <w:r>
        <w:rPr>
          <w:sz w:val="15"/>
          <w:vertAlign w:val="superscript"/>
        </w:rPr>
        <w:t>P271</w:t>
      </w:r>
      <w:r>
        <w:t>，且控制措施应与组织的风险状况保持一致</w:t>
      </w:r>
      <w:r>
        <w:rPr>
          <w:sz w:val="15"/>
          <w:vertAlign w:val="superscript"/>
        </w:rPr>
        <w:t>P244</w:t>
      </w:r>
      <w:r>
        <w:t>。当公司进行并购时，被收购实体的业务、客户群等因素会使公司风险状况发生实质性改变。合规官必须全面审查反洗钱计划，识别新风险并调整控制措施，使之匹配新的风险状况。相比之下，外部审计发现缺陷</w:t>
      </w:r>
      <w:r>
        <w:rPr>
          <w:sz w:val="15"/>
          <w:vertAlign w:val="superscript"/>
        </w:rPr>
        <w:t>P257</w:t>
      </w:r>
      <w:r>
        <w:t>通常触发针对性整改而非全面审查；立法提议</w:t>
      </w:r>
      <w:r>
        <w:rPr>
          <w:sz w:val="15"/>
          <w:vertAlign w:val="superscript"/>
        </w:rPr>
        <w:t>P194</w:t>
      </w:r>
      <w:r>
        <w:t>尚未生效，不改变当前风险状况；其他行业洗钱案件被报道不改变公司本身的风险状况。因此，并购最直接触发全面审查的需求，选项B与题干条件吻合。</w:t>
      </w:r>
    </w:p>
    <w:p>
      <w:pPr>
        <w:spacing w:before="120" w:after="40"/>
      </w:pPr>
      <w:r>
        <w:rPr>
          <w:b/>
          <w:sz w:val="21"/>
          <w:shd w:fill="D6E4F0" w:val="clear"/>
        </w:rPr>
        <w:t>教材原句</w:t>
      </w:r>
    </w:p>
    <w:p>
      <w:pPr>
        <w:spacing w:line="360" w:lineRule="auto" w:after="40"/>
        <w:ind w:firstLine="420"/>
      </w:pPr>
      <w:r>
        <w:t>"Legal and compliance reviews to ensure adherence to relevant laws and regulations, including by the companies being subject to an acquisition."</w:t>
      </w:r>
    </w:p>
    <w:p>
      <w:pPr>
        <w:spacing w:before="120" w:after="40"/>
      </w:pPr>
      <w:r>
        <w:rPr>
          <w:b/>
          <w:sz w:val="21"/>
          <w:shd w:fill="D6E4F0" w:val="clear"/>
        </w:rPr>
        <w:t>A项错误</w:t>
      </w:r>
    </w:p>
    <w:p>
      <w:pPr>
        <w:spacing w:line="360" w:lineRule="auto" w:after="40"/>
        <w:ind w:firstLine="420"/>
      </w:pPr>
      <w:r>
        <w:t>外部审计发现不足（第三道防线，P257）通常指向特定缺陷的纠正，不必然要求对整个反洗钱计划进行包含风险识别与控制的全面审查；而并购直接改变了组织风险状况，更匹配题干“全面审查”的要求。</w:t>
      </w:r>
    </w:p>
    <w:p>
      <w:pPr>
        <w:spacing w:before="120" w:after="40"/>
      </w:pPr>
      <w:r>
        <w:rPr>
          <w:b/>
          <w:sz w:val="21"/>
          <w:shd w:fill="D6E4F0" w:val="clear"/>
        </w:rPr>
        <w:t>C项错误</w:t>
      </w:r>
    </w:p>
    <w:p>
      <w:pPr>
        <w:spacing w:line="360" w:lineRule="auto" w:after="40"/>
        <w:ind w:firstLine="420"/>
      </w:pPr>
      <w:r>
        <w:t>立法提议尚未生效，未改变当前风险状况，暂无立即全面审查的必要；并购则立即引入新风险实体，更直接支持题干要求的审查触发条件。</w:t>
      </w:r>
    </w:p>
    <w:p>
      <w:pPr>
        <w:spacing w:before="120" w:after="40"/>
      </w:pPr>
      <w:r>
        <w:rPr>
          <w:b/>
          <w:sz w:val="21"/>
          <w:shd w:fill="D6E4F0" w:val="clear"/>
        </w:rPr>
        <w:t>D项错误</w:t>
      </w:r>
    </w:p>
    <w:p>
      <w:pPr>
        <w:spacing w:line="360" w:lineRule="auto" w:after="40"/>
        <w:ind w:firstLine="420"/>
      </w:pPr>
      <w:r>
        <w:t>其他行业案件被公开报道可能促使审视控制措施，但公司自身风险状况未变；而并购引入了新实体和新风险，要求重新识别风险并调整控制，与题干更匹配。</w:t>
      </w:r>
    </w:p>
    <w:p>
      <w:pPr>
        <w:spacing w:before="120" w:after="40"/>
      </w:pPr>
      <w:r>
        <w:rPr>
          <w:b/>
          <w:sz w:val="21"/>
          <w:shd w:fill="D6E4F0" w:val="clear"/>
        </w:rPr>
        <w:t>易错提醒</w:t>
      </w:r>
    </w:p>
    <w:p>
      <w:pPr>
        <w:spacing w:line="360" w:lineRule="auto" w:after="40"/>
        <w:ind w:firstLine="420"/>
      </w:pPr>
      <w:r>
        <w:t>外部审计发现缺陷通常触发局部修正，而并购导致风险偏好和风险状况的根本变化，要求进行全面风险识别与控制重新评估</w:t>
      </w:r>
      <w:r>
        <w:rPr>
          <w:sz w:val="15"/>
          <w:vertAlign w:val="superscript"/>
        </w:rPr>
        <w:t>P271、P244</w:t>
      </w:r>
      <w:r>
        <w:t>。合规官应优先在并购场景下启动全面审查。</w:t>
      </w:r>
    </w:p>
    <w:p>
      <w:pPr>
        <w:spacing w:line="360" w:lineRule="auto" w:after="120"/>
      </w:pPr>
      <w:r/>
    </w:p>
    <w:p>
      <w:pPr>
        <w:spacing w:line="360" w:lineRule="auto" w:after="40"/>
      </w:pPr>
      <w:r>
        <w:t>3. A compliance officer at a European bank is investigating an account opened by the bank for a customer during the last two years. According to bank records, the company's primary economic activity is the import and export of petrochemical products. Over a period of one year, the account transactions have exceeded US$500 million, with various high-value inward wire transfers received from suppliers in Yemen followed by outward wire transfers to counterparties in Azerbaijan. Which factor should give the compliance officer the greatest concern if observed in the investigation? ( )</w:t>
      </w:r>
    </w:p>
    <w:p>
      <w:pPr>
        <w:spacing w:line="360" w:lineRule="auto" w:after="20"/>
        <w:ind w:firstLine="283"/>
      </w:pPr>
      <w:r>
        <w:t>A. Media searches reveal a report that the customer was accused of misconduct three years ago</w:t>
      </w:r>
    </w:p>
    <w:p>
      <w:pPr>
        <w:spacing w:line="360" w:lineRule="auto" w:after="20"/>
        <w:ind w:firstLine="283"/>
      </w:pPr>
      <w:r>
        <w:t>B. The EU bank considers the origin and destination countries involved in the transactions to be high-risk</w:t>
      </w:r>
    </w:p>
    <w:p>
      <w:pPr>
        <w:spacing w:line="360" w:lineRule="auto" w:after="20"/>
        <w:ind w:firstLine="283"/>
      </w:pPr>
      <w:r>
        <w:t>C. The customer's activity includes multiple cross-border transactions involving various counterparties</w:t>
      </w:r>
    </w:p>
    <w:p>
      <w:pPr>
        <w:spacing w:line="360" w:lineRule="auto" w:after="20"/>
        <w:ind w:firstLine="283"/>
      </w:pPr>
      <w:r>
        <w:t>D. The EU bank did not receive originator or beneficiary information for the wire transfers</w:t>
      </w:r>
    </w:p>
    <w:p>
      <w:pPr>
        <w:spacing w:line="360" w:lineRule="auto" w:after="20"/>
        <w:ind w:firstLine="283"/>
      </w:pPr>
      <w:r>
        <w:t>E. The customer specializes in the import and export of petrochemical products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电汇中缺失受益人信息是洗钱风险信号</w:t>
      </w:r>
    </w:p>
    <w:p>
      <w:pPr>
        <w:spacing w:before="120" w:after="40"/>
      </w:pPr>
      <w:r>
        <w:rPr>
          <w:b/>
          <w:sz w:val="21"/>
          <w:shd w:fill="D6E4F0" w:val="clear"/>
        </w:rPr>
        <w:t>核心解析</w:t>
      </w:r>
    </w:p>
    <w:p>
      <w:pPr>
        <w:spacing w:line="360" w:lineRule="auto" w:after="40"/>
        <w:ind w:firstLine="420"/>
      </w:pPr>
      <w:r>
        <w:t>电汇的洗钱风险中，隐瞒信息属于典型红旗信号，例如未提供充分的受益人信息</w:t>
      </w:r>
      <w:r>
        <w:rPr>
          <w:sz w:val="15"/>
          <w:vertAlign w:val="superscript"/>
        </w:rPr>
        <w:t>P79</w:t>
      </w:r>
      <w:r>
        <w:t>。FATF建议也要求金融机构确保电汇中发起人和受益人数据准确</w:t>
      </w:r>
      <w:r>
        <w:rPr>
          <w:sz w:val="15"/>
          <w:vertAlign w:val="superscript"/>
        </w:rPr>
        <w:t>P148</w:t>
      </w:r>
      <w:r>
        <w:t>。题干中，该账户发生大量跨境电汇，但欧盟银行未收到发起人或受益人信息，这直接构成了教材定义的电汇风险信号——故意缺失信息可能意在掩盖资金流向。相比其他选项，这一事实最明确地指向电汇洗钱手法的核心特征，合规官应最优先警惕。</w:t>
      </w:r>
    </w:p>
    <w:p>
      <w:pPr>
        <w:spacing w:before="120" w:after="40"/>
      </w:pPr>
      <w:r>
        <w:rPr>
          <w:b/>
          <w:sz w:val="21"/>
          <w:shd w:fill="D6E4F0" w:val="clear"/>
        </w:rPr>
        <w:t>教材原句</w:t>
      </w:r>
    </w:p>
    <w:p>
      <w:pPr>
        <w:spacing w:line="360" w:lineRule="auto" w:after="40"/>
        <w:ind w:firstLine="420"/>
      </w:pPr>
      <w:r>
        <w:t>"Concealing information, such as not providing adequate beneficiary information"</w:t>
      </w:r>
    </w:p>
    <w:p>
      <w:pPr>
        <w:spacing w:before="120" w:after="40"/>
      </w:pPr>
      <w:r>
        <w:rPr>
          <w:b/>
          <w:sz w:val="21"/>
          <w:shd w:fill="D6E4F0" w:val="clear"/>
        </w:rPr>
        <w:t>A项错误</w:t>
      </w:r>
    </w:p>
    <w:p>
      <w:pPr>
        <w:spacing w:line="360" w:lineRule="auto" w:after="40"/>
        <w:ind w:firstLine="420"/>
      </w:pPr>
      <w:r>
        <w:t>负面媒体报道应触发客户审查更新</w:t>
      </w:r>
      <w:r>
        <w:rPr>
          <w:sz w:val="15"/>
          <w:vertAlign w:val="superscript"/>
        </w:rPr>
        <w:t>P130</w:t>
      </w:r>
      <w:r>
        <w:t>，但题干的报道是“三年前”且仅涉及“指控”，未表明近期风险或与当前电汇模式的关联，匹配度不如缺失受益人信息直接。</w:t>
      </w:r>
    </w:p>
    <w:p>
      <w:pPr>
        <w:spacing w:before="120" w:after="40"/>
      </w:pPr>
      <w:r>
        <w:rPr>
          <w:b/>
          <w:sz w:val="21"/>
          <w:shd w:fill="D6E4F0" w:val="clear"/>
        </w:rPr>
        <w:t>B项错误</w:t>
      </w:r>
    </w:p>
    <w:p>
      <w:pPr>
        <w:spacing w:line="360" w:lineRule="auto" w:after="40"/>
        <w:ind w:firstLine="420"/>
      </w:pPr>
      <w:r>
        <w:t>教材将地理风险列为高风险客户因素</w:t>
      </w:r>
      <w:r>
        <w:rPr>
          <w:sz w:val="15"/>
          <w:vertAlign w:val="superscript"/>
        </w:rPr>
        <w:t>P312</w:t>
      </w:r>
      <w:r>
        <w:t>，但本题场景的核心是电汇信息缺失，而非国别风险本身。缺失受益人信息直接击中电汇洗钱刻意隐瞒的伎俩，比单纯的国家风险评级更贴近教材给出的电汇专项风险信号。</w:t>
      </w:r>
    </w:p>
    <w:p>
      <w:pPr>
        <w:spacing w:before="120" w:after="40"/>
      </w:pPr>
      <w:r>
        <w:rPr>
          <w:b/>
          <w:sz w:val="21"/>
          <w:shd w:fill="D6E4F0" w:val="clear"/>
        </w:rPr>
        <w:t>C项错误</w:t>
      </w:r>
    </w:p>
    <w:p>
      <w:pPr>
        <w:spacing w:line="360" w:lineRule="auto" w:after="40"/>
        <w:ind w:firstLine="420"/>
      </w:pPr>
      <w:r>
        <w:t>“多笔跨境交易涉及多个交易对手”本身是合法进出口业务的常态，不是孤立的风险信号。题干已明确客户从事石化产品进出口，该描述未提供额外危险信息。</w:t>
      </w:r>
    </w:p>
    <w:p>
      <w:pPr>
        <w:spacing w:before="120" w:after="40"/>
      </w:pPr>
      <w:r>
        <w:rPr>
          <w:b/>
          <w:sz w:val="21"/>
          <w:shd w:fill="D6E4F0" w:val="clear"/>
        </w:rPr>
        <w:t>E项错误</w:t>
      </w:r>
    </w:p>
    <w:p>
      <w:pPr>
        <w:spacing w:line="360" w:lineRule="auto" w:after="40"/>
        <w:ind w:firstLine="420"/>
      </w:pPr>
      <w:r>
        <w:t>客户专门从事石化产品进出口属于题干已交代的背景信息，不是调查中新发现的关注点。即使进出口行业存在较高的资金来源风险</w:t>
      </w:r>
      <w:r>
        <w:rPr>
          <w:sz w:val="15"/>
          <w:vertAlign w:val="superscript"/>
        </w:rPr>
        <w:t>P132</w:t>
      </w:r>
      <w:r>
        <w:t>，这一既定事实也不如信息缺失紧迫和具体。</w:t>
      </w:r>
    </w:p>
    <w:p>
      <w:pPr>
        <w:spacing w:before="120" w:after="40"/>
      </w:pPr>
      <w:r>
        <w:rPr>
          <w:b/>
          <w:sz w:val="21"/>
          <w:shd w:fill="D6E4F0" w:val="clear"/>
        </w:rPr>
        <w:t>易错提醒</w:t>
      </w:r>
    </w:p>
    <w:p>
      <w:pPr>
        <w:spacing w:line="360" w:lineRule="auto" w:after="40"/>
        <w:ind w:firstLine="420"/>
      </w:pPr>
      <w:r>
        <w:t>涉及高风险国家确实需要强化审查，但“未收到发起人或受益人信息”直接符合电汇洗钱中“隐瞒信息”的风险指标</w:t>
      </w:r>
      <w:r>
        <w:rPr>
          <w:sz w:val="15"/>
          <w:vertAlign w:val="superscript"/>
        </w:rPr>
        <w:t>P79</w:t>
      </w:r>
      <w:r>
        <w:t>，且与FATF要求确保电汇数据准确的监管期待</w:t>
      </w:r>
      <w:r>
        <w:rPr>
          <w:sz w:val="15"/>
          <w:vertAlign w:val="superscript"/>
        </w:rPr>
        <w:t>P148</w:t>
      </w:r>
      <w:r>
        <w:t>相冲突。在此场景下，信息缺失比国别风险更切中电汇洗钱的核心操作特征。</w:t>
      </w:r>
    </w:p>
    <w:p>
      <w:pPr>
        <w:spacing w:line="360" w:lineRule="auto" w:after="120"/>
      </w:pPr>
      <w:r/>
    </w:p>
    <w:p>
      <w:pPr>
        <w:spacing w:line="360" w:lineRule="auto" w:after="40"/>
      </w:pPr>
      <w:r>
        <w:t>4. Correspondent banking is considered a high-risk area because correspondent banking transactions: ( )</w:t>
      </w:r>
    </w:p>
    <w:p>
      <w:pPr>
        <w:spacing w:line="360" w:lineRule="auto" w:after="20"/>
        <w:ind w:firstLine="283"/>
      </w:pPr>
      <w:r>
        <w:t>A. Are made primarily to and from high-risk jurisdictions</w:t>
      </w:r>
    </w:p>
    <w:p>
      <w:pPr>
        <w:spacing w:line="360" w:lineRule="auto" w:after="20"/>
        <w:ind w:firstLine="283"/>
      </w:pPr>
      <w:r>
        <w:t>B. Can be made anonymously and without beneficial ownership information</w:t>
      </w:r>
    </w:p>
    <w:p>
      <w:pPr>
        <w:spacing w:line="360" w:lineRule="auto" w:after="20"/>
        <w:ind w:firstLine="283"/>
      </w:pPr>
      <w:r>
        <w:t>C. Typically include less information than domestic payments</w:t>
      </w:r>
    </w:p>
    <w:p>
      <w:pPr>
        <w:spacing w:line="360" w:lineRule="auto" w:after="20"/>
        <w:ind w:firstLine="283"/>
      </w:pPr>
      <w:r>
        <w:t>D. Are made cross-border and on behalf of third parties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代理行高风险源于其跨境且代表第三方客户的间接关系</w:t>
      </w:r>
    </w:p>
    <w:p>
      <w:pPr>
        <w:spacing w:before="120" w:after="40"/>
      </w:pPr>
      <w:r>
        <w:rPr>
          <w:b/>
          <w:sz w:val="21"/>
          <w:shd w:fill="D6E4F0" w:val="clear"/>
        </w:rPr>
        <w:t>核心解析</w:t>
      </w:r>
    </w:p>
    <w:p>
      <w:pPr>
        <w:spacing w:line="360" w:lineRule="auto" w:after="40"/>
        <w:ind w:firstLine="420"/>
      </w:pPr>
      <w:r>
        <w:t>代理行关系指一家银行作为另一家外国银行的代理行</w:t>
      </w:r>
      <w:r>
        <w:rPr>
          <w:sz w:val="15"/>
          <w:vertAlign w:val="superscript"/>
        </w:rPr>
        <w:t>P83</w:t>
      </w:r>
      <w:r>
        <w:t>，委托行为其客户寻求境外服务而与该外国代理行签约</w:t>
      </w:r>
      <w:r>
        <w:rPr>
          <w:sz w:val="15"/>
          <w:vertAlign w:val="superscript"/>
        </w:rPr>
        <w:t>P83</w:t>
      </w:r>
      <w:r>
        <w:t>，因此代理行交易在本质上就是跨境的，并且是代表委托行及其终端客户进行的。教材在解释代理行为何高风险时直接引出：“Correspondent banking is higher risk because the correspondent bank:”</w:t>
      </w:r>
      <w:r>
        <w:rPr>
          <w:sz w:val="15"/>
          <w:vertAlign w:val="superscript"/>
        </w:rPr>
        <w:t>P83</w:t>
      </w:r>
      <w:r>
        <w:t>，后续详细说明代理行无法对终端客户进行典型尽职调查、缺乏交易数据等原因，根源都在于这种跨境且代表第三方的“保持距离”特性（P83-84）。选项D“是跨境的以及代表第三方进行的”直接抓住了这两个固有特征，因而成为最准确的答案。</w:t>
      </w:r>
    </w:p>
    <w:p>
      <w:pPr>
        <w:spacing w:before="120" w:after="40"/>
      </w:pPr>
      <w:r>
        <w:rPr>
          <w:b/>
          <w:sz w:val="21"/>
          <w:shd w:fill="D6E4F0" w:val="clear"/>
        </w:rPr>
        <w:t>教材原句</w:t>
      </w:r>
    </w:p>
    <w:p>
      <w:pPr>
        <w:spacing w:line="360" w:lineRule="auto" w:after="40"/>
        <w:ind w:firstLine="420"/>
      </w:pPr>
      <w:r>
        <w:t>"Correspondent banking is higher risk because the correspondent bank:"</w:t>
      </w:r>
    </w:p>
    <w:p>
      <w:pPr>
        <w:spacing w:before="120" w:after="40"/>
      </w:pPr>
      <w:r>
        <w:rPr>
          <w:b/>
          <w:sz w:val="21"/>
          <w:shd w:fill="D6E4F0" w:val="clear"/>
        </w:rPr>
        <w:t>A项错误</w:t>
      </w:r>
    </w:p>
    <w:p>
      <w:pPr>
        <w:spacing w:line="360" w:lineRule="auto" w:after="40"/>
        <w:ind w:firstLine="420"/>
      </w:pPr>
      <w:r>
        <w:t>高风险司法管辖区是电汇风险的红旗信号</w:t>
      </w:r>
      <w:r>
        <w:rPr>
          <w:sz w:val="15"/>
          <w:vertAlign w:val="superscript"/>
        </w:rPr>
        <w:t>P78</w:t>
      </w:r>
      <w:r>
        <w:t>，但不是代理行交易高风险的直接定义特征。代理行即使在低风险辖区之间运作，其跨境并代表第三方的间接关系本身就已经带来风险，因此D更直接匹配教材对代理行风险根源的说明。</w:t>
      </w:r>
    </w:p>
    <w:p>
      <w:pPr>
        <w:spacing w:before="120" w:after="40"/>
      </w:pPr>
      <w:r>
        <w:rPr>
          <w:b/>
          <w:sz w:val="21"/>
          <w:shd w:fill="D6E4F0" w:val="clear"/>
        </w:rPr>
        <w:t>B项错误</w:t>
      </w:r>
    </w:p>
    <w:p>
      <w:pPr>
        <w:spacing w:line="360" w:lineRule="auto" w:after="40"/>
        <w:ind w:firstLine="420"/>
      </w:pPr>
      <w:r>
        <w:t>代理行对终端客户未核实身份</w:t>
      </w:r>
      <w:r>
        <w:rPr>
          <w:sz w:val="15"/>
          <w:vertAlign w:val="superscript"/>
        </w:rPr>
        <w:t>P83</w:t>
      </w:r>
      <w:r>
        <w:t>，但这并不等于交易可以“匿名”且完全不提供受益所有权信息。教材中彻底隐藏所有权更常见于空壳公司或名义账户</w:t>
      </w:r>
      <w:r>
        <w:rPr>
          <w:sz w:val="15"/>
          <w:vertAlign w:val="superscript"/>
        </w:rPr>
        <w:t>P106</w:t>
      </w:r>
      <w:r>
        <w:t>，与代理行的间接知情不同，因此B的表述偏离了教材对代理行风险的界定，不如D符合题干。</w:t>
      </w:r>
    </w:p>
    <w:p>
      <w:pPr>
        <w:spacing w:before="120" w:after="40"/>
      </w:pPr>
      <w:r>
        <w:rPr>
          <w:b/>
          <w:sz w:val="21"/>
          <w:shd w:fill="D6E4F0" w:val="clear"/>
        </w:rPr>
        <w:t>C项错误</w:t>
      </w:r>
    </w:p>
    <w:p>
      <w:pPr>
        <w:spacing w:line="360" w:lineRule="auto" w:after="40"/>
        <w:ind w:firstLine="420"/>
      </w:pPr>
      <w:r>
        <w:t>教材确实指出代理行缺乏委托行交易数据，导致难以实施交易监控</w:t>
      </w:r>
      <w:r>
        <w:rPr>
          <w:sz w:val="15"/>
          <w:vertAlign w:val="superscript"/>
        </w:rPr>
        <w:t>P84</w:t>
      </w:r>
      <w:r>
        <w:t>，也就是信息较少，但这属于跨境第三方特征带来的结果而非根本理由。题干问的是代理银行交易本身为什么高风险，D更能体现交易性质的原始原因。</w:t>
      </w:r>
    </w:p>
    <w:p>
      <w:pPr>
        <w:spacing w:before="120" w:after="40"/>
      </w:pPr>
      <w:r>
        <w:rPr>
          <w:b/>
          <w:sz w:val="21"/>
          <w:shd w:fill="D6E4F0" w:val="clear"/>
        </w:rPr>
        <w:t>易错提醒</w:t>
      </w:r>
    </w:p>
    <w:p>
      <w:pPr>
        <w:spacing w:line="360" w:lineRule="auto" w:after="40"/>
        <w:ind w:firstLine="420"/>
      </w:pPr>
      <w:r>
        <w:t>不要将代理行的高风险理由与电汇风险的红旗信号混淆。代理行风险的核心在于“保持距离”的间接性和跨境特征</w:t>
      </w:r>
      <w:r>
        <w:rPr>
          <w:sz w:val="15"/>
          <w:vertAlign w:val="superscript"/>
        </w:rPr>
        <w:t>P83</w:t>
      </w:r>
      <w:r>
        <w:t>，而高风险辖区属于电汇活动的红色信号</w:t>
      </w:r>
      <w:r>
        <w:rPr>
          <w:sz w:val="15"/>
          <w:vertAlign w:val="superscript"/>
        </w:rPr>
        <w:t>P78</w:t>
      </w:r>
      <w:r>
        <w:t>，二者在教材中分属不同模块。</w:t>
      </w:r>
    </w:p>
    <w:p>
      <w:pPr>
        <w:spacing w:line="360" w:lineRule="auto" w:after="120"/>
      </w:pPr>
      <w:r/>
    </w:p>
    <w:p>
      <w:pPr>
        <w:spacing w:line="360" w:lineRule="auto" w:after="40"/>
      </w:pPr>
      <w:r>
        <w:t>5. Unusual wire transfer transactions can include: (Choose two.) ( )</w:t>
      </w:r>
    </w:p>
    <w:p>
      <w:pPr>
        <w:spacing w:line="360" w:lineRule="auto" w:after="20"/>
        <w:ind w:firstLine="283"/>
      </w:pPr>
      <w:r>
        <w:t>A. Wire transfers in different currencies between accounts held at different banks for the same client.</w:t>
      </w:r>
    </w:p>
    <w:p>
      <w:pPr>
        <w:spacing w:line="360" w:lineRule="auto" w:after="20"/>
        <w:ind w:firstLine="283"/>
      </w:pPr>
      <w:r>
        <w:t>B. An incoming third-party wire transfer followed by the purchase of real estate in the client's name.</w:t>
      </w:r>
    </w:p>
    <w:p>
      <w:pPr>
        <w:spacing w:line="360" w:lineRule="auto" w:after="20"/>
        <w:ind w:firstLine="283"/>
      </w:pPr>
      <w:r>
        <w:t>C. An incoming wire transfer followed by the loan payment to a third party that is a business associate of the client.</w:t>
      </w:r>
    </w:p>
    <w:p>
      <w:pPr>
        <w:spacing w:line="360" w:lineRule="auto" w:after="20"/>
        <w:ind w:firstLine="283"/>
      </w:pPr>
      <w:r>
        <w:t>D. Multiple wire transfers sent to counterparties associated with the client as per KYC documentation.</w:t>
      </w:r>
    </w:p>
    <w:p>
      <w:pPr>
        <w:spacing w:line="360" w:lineRule="auto" w:after="40"/>
      </w:pPr>
      <w:r>
        <w:t>答案：A、B</w:t>
      </w:r>
    </w:p>
    <w:p>
      <w:pPr>
        <w:spacing w:line="360" w:lineRule="auto" w:after="40"/>
      </w:pPr>
      <w:r>
        <w:t>解析：</w:t>
      </w:r>
    </w:p>
    <w:p>
      <w:pPr>
        <w:spacing w:before="120" w:after="40"/>
      </w:pPr>
      <w:r>
        <w:rPr>
          <w:b/>
          <w:sz w:val="21"/>
          <w:shd w:fill="D6E4F0" w:val="clear"/>
        </w:rPr>
        <w:t>考点</w:t>
      </w:r>
    </w:p>
    <w:p>
      <w:pPr>
        <w:spacing w:line="360" w:lineRule="auto" w:after="40"/>
        <w:ind w:firstLine="420"/>
      </w:pPr>
      <w:r>
        <w:t>依据教材异常电汇活动清单识别不寻常电汇模式</w:t>
      </w:r>
    </w:p>
    <w:p>
      <w:pPr>
        <w:spacing w:before="120" w:after="40"/>
      </w:pPr>
      <w:r>
        <w:rPr>
          <w:b/>
          <w:sz w:val="21"/>
          <w:shd w:fill="D6E4F0" w:val="clear"/>
        </w:rPr>
        <w:t>核心解析</w:t>
      </w:r>
    </w:p>
    <w:p>
      <w:pPr>
        <w:spacing w:line="360" w:lineRule="auto" w:after="40"/>
        <w:ind w:firstLine="420"/>
      </w:pPr>
      <w:r>
        <w:t>教材将异常电汇活动列举为包括复杂交易路径、异常指令（如添加无关方名称）、隐藏信息等情形</w:t>
      </w:r>
      <w:r>
        <w:rPr>
          <w:sz w:val="15"/>
          <w:vertAlign w:val="superscript"/>
        </w:rPr>
        <w:t>P79</w:t>
      </w:r>
      <w:r>
        <w:t>。选项A：同一客户在不同银行之间以不同货币进行电汇，构成了复杂且非直接的交易路径，符合异常电汇活动特征。选项B：一笔第三方电汇后随即以客户名义购买房产，引入了无关方资金且与高价值资产购买结合，既涉及异常指令中的无关方加入，也形成复杂模式；同时，房地产交易常被用于将非法资金融入合法经济</w:t>
      </w:r>
      <w:r>
        <w:rPr>
          <w:sz w:val="15"/>
          <w:vertAlign w:val="superscript"/>
        </w:rPr>
        <w:t>P121</w:t>
      </w:r>
      <w:r>
        <w:t>，进一步印证该电汇行为的不寻常。两者均直接对应教材所定义的异常电汇活动范畴。</w:t>
      </w:r>
    </w:p>
    <w:p>
      <w:pPr>
        <w:spacing w:before="120" w:after="40"/>
      </w:pPr>
      <w:r>
        <w:rPr>
          <w:b/>
          <w:sz w:val="21"/>
          <w:shd w:fill="D6E4F0" w:val="clear"/>
        </w:rPr>
        <w:t>教材原句</w:t>
      </w:r>
    </w:p>
    <w:p>
      <w:pPr>
        <w:spacing w:line="360" w:lineRule="auto" w:after="40"/>
        <w:ind w:firstLine="420"/>
      </w:pPr>
      <w:r>
        <w:t>"Unusual instructions with the wire transfer, such as a sequence of transfer instructions or the addition of an unrelated party name in the instructions"</w:t>
      </w:r>
    </w:p>
    <w:p>
      <w:pPr>
        <w:spacing w:before="120" w:after="40"/>
      </w:pPr>
      <w:r>
        <w:rPr>
          <w:b/>
          <w:sz w:val="21"/>
          <w:shd w:fill="D6E4F0" w:val="clear"/>
        </w:rPr>
        <w:t>C项错误</w:t>
      </w:r>
    </w:p>
    <w:p>
      <w:pPr>
        <w:spacing w:line="360" w:lineRule="auto" w:after="40"/>
        <w:ind w:firstLine="420"/>
      </w:pPr>
      <w:r>
        <w:t>该选项描述的是汇入电汇后用于偿还对业务伙伴的贷款，属于有明确商业目的的常规支付，缺乏复杂路径、无关方介入或信息隐藏等教材所列举的异常要素，因此匹配度远低于A、B。</w:t>
      </w:r>
    </w:p>
    <w:p>
      <w:pPr>
        <w:spacing w:before="120" w:after="40"/>
      </w:pPr>
      <w:r>
        <w:rPr>
          <w:b/>
          <w:sz w:val="21"/>
          <w:shd w:fill="D6E4F0" w:val="clear"/>
        </w:rPr>
        <w:t>D项错误</w:t>
      </w:r>
    </w:p>
    <w:p>
      <w:pPr>
        <w:spacing w:line="360" w:lineRule="auto" w:after="40"/>
        <w:ind w:firstLine="420"/>
      </w:pPr>
      <w:r>
        <w:t>多次电汇至CDD文件中已知的关联对手方，属于与客户风险画像一致的预期内活动，在无其他异常指标（如金额、频率、隐藏信息）的情况下，更符合正常交易范畴，不符合教材异常电汇活动的描述。</w:t>
      </w:r>
    </w:p>
    <w:p>
      <w:pPr>
        <w:spacing w:before="120" w:after="40"/>
      </w:pPr>
      <w:r>
        <w:rPr>
          <w:b/>
          <w:sz w:val="21"/>
          <w:shd w:fill="D6E4F0" w:val="clear"/>
        </w:rPr>
        <w:t>易错提醒</w:t>
      </w:r>
    </w:p>
    <w:p>
      <w:pPr>
        <w:spacing w:line="360" w:lineRule="auto" w:after="40"/>
        <w:ind w:firstLine="420"/>
      </w:pPr>
      <w:r>
        <w:t>判断电汇是否异常，重点看第三方介入是否有合理解释。教材异常清单聚焦于复杂路径、无关方和隐藏信息</w:t>
      </w:r>
      <w:r>
        <w:rPr>
          <w:sz w:val="15"/>
          <w:vertAlign w:val="superscript"/>
        </w:rPr>
        <w:t>P79</w:t>
      </w:r>
      <w:r>
        <w:t>；若第三方与客户存在明确的业务关系且支付目的合理（如选项C），或交易对手已由CDD记录（如选项D），则通常被视为正常活动。</w:t>
      </w:r>
    </w:p>
    <w:p>
      <w:pPr>
        <w:spacing w:line="360" w:lineRule="auto" w:after="120"/>
      </w:pPr>
      <w:r/>
    </w:p>
    <w:p>
      <w:pPr>
        <w:spacing w:line="360" w:lineRule="auto" w:after="40"/>
      </w:pPr>
      <w:r>
        <w:t>6. Which activities would be considered money laundering red flags when reviewing the business operations of a money services business (MSB)? (Select two.) ( )</w:t>
      </w:r>
    </w:p>
    <w:p>
      <w:pPr>
        <w:spacing w:line="360" w:lineRule="auto" w:after="20"/>
        <w:ind w:firstLine="283"/>
      </w:pPr>
      <w:r>
        <w:t>A. A customer being hesitant to provide beneficiary name or address information when sending international wire transfers.</w:t>
      </w:r>
    </w:p>
    <w:p>
      <w:pPr>
        <w:spacing w:line="360" w:lineRule="auto" w:after="20"/>
        <w:ind w:firstLine="283"/>
      </w:pPr>
      <w:r>
        <w:t>B. Cash-intensive businesses, such as convenience stores or restaurants, making large cash deposits.</w:t>
      </w:r>
    </w:p>
    <w:p>
      <w:pPr>
        <w:spacing w:line="360" w:lineRule="auto" w:after="20"/>
        <w:ind w:firstLine="283"/>
      </w:pPr>
      <w:r>
        <w:t>C. A customer exchanging foreign currency from a higher-risk jurisdiction for domestic currency under the reporting threshold.</w:t>
      </w:r>
    </w:p>
    <w:p>
      <w:pPr>
        <w:spacing w:line="360" w:lineRule="auto" w:after="20"/>
        <w:ind w:firstLine="283"/>
      </w:pPr>
      <w:r>
        <w:t>D. A customer using multiple accounts under different names to conduct transactions.</w:t>
      </w:r>
    </w:p>
    <w:p>
      <w:pPr>
        <w:spacing w:line="360" w:lineRule="auto" w:after="20"/>
        <w:ind w:firstLine="283"/>
      </w:pPr>
      <w:r>
        <w:t>E. A customer completing frequent small-dollar international money transfers to their native country.</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 MSB 业务中隐瞒信息与使用多个账户逃避监控的警示信号</w:t>
      </w:r>
    </w:p>
    <w:p>
      <w:pPr>
        <w:spacing w:before="120" w:after="40"/>
      </w:pPr>
      <w:r>
        <w:rPr>
          <w:b/>
          <w:sz w:val="21"/>
          <w:shd w:fill="D6E4F0" w:val="clear"/>
        </w:rPr>
        <w:t>核心解析</w:t>
      </w:r>
    </w:p>
    <w:p>
      <w:pPr>
        <w:spacing w:line="360" w:lineRule="auto" w:after="40"/>
        <w:ind w:firstLine="420"/>
      </w:pPr>
      <w:r>
        <w:t>教材列出两项与本题直接相关的洗钱警示信号。第一，电汇场景下，客户隐瞒信息属于风险指标，具体表现为未提供充分的受益人信息</w:t>
      </w:r>
      <w:r>
        <w:rPr>
          <w:sz w:val="15"/>
          <w:vertAlign w:val="superscript"/>
        </w:rPr>
        <w:t>P79</w:t>
      </w:r>
      <w:r>
        <w:t>。选项 A 中客户对提供受益人姓名或地址犹豫不决，正吻合这一教材定义——犹豫本身就是一种信息隐瞒的典型表现。第二，利用多个账户是教材列举的常见洗钱技术之一，犯罪分子通过使用多个账户、金融机构和中间人来逃避监控</w:t>
      </w:r>
      <w:r>
        <w:rPr>
          <w:sz w:val="15"/>
          <w:vertAlign w:val="superscript"/>
        </w:rPr>
        <w:t>P17</w:t>
      </w:r>
      <w:r>
        <w:t>。选项 D 中客户使用不同名称下的多个账户进行交易，正是这一手法在 MSB 业务中的直接呈现。两道正确项分别指向 MSB 两大核心风险领域：电汇信息完整性缺失与账户操纵。</w:t>
      </w:r>
    </w:p>
    <w:p>
      <w:pPr>
        <w:spacing w:before="120" w:after="40"/>
      </w:pPr>
      <w:r>
        <w:rPr>
          <w:b/>
          <w:sz w:val="21"/>
          <w:shd w:fill="D6E4F0" w:val="clear"/>
        </w:rPr>
        <w:t>教材原句</w:t>
      </w:r>
    </w:p>
    <w:p>
      <w:pPr>
        <w:spacing w:line="360" w:lineRule="auto" w:after="40"/>
        <w:ind w:firstLine="420"/>
      </w:pPr>
      <w:r>
        <w:t>"Concealing information, such as not providing adequate beneficiary information"</w:t>
      </w:r>
    </w:p>
    <w:p>
      <w:pPr>
        <w:spacing w:before="120" w:after="40"/>
      </w:pPr>
      <w:r>
        <w:rPr>
          <w:b/>
          <w:sz w:val="21"/>
          <w:shd w:fill="D6E4F0" w:val="clear"/>
        </w:rPr>
        <w:t>B项错误</w:t>
      </w:r>
    </w:p>
    <w:p>
      <w:pPr>
        <w:spacing w:line="360" w:lineRule="auto" w:after="40"/>
        <w:ind w:firstLine="420"/>
      </w:pPr>
      <w:r>
        <w:t>教材指出现金密集型企业如便利店常有频繁现金存款，这在对应的业务画像下属于可预期的正常行为</w:t>
      </w:r>
      <w:r>
        <w:rPr>
          <w:sz w:val="15"/>
          <w:vertAlign w:val="superscript"/>
        </w:rPr>
        <w:t>P444</w:t>
      </w:r>
      <w:r>
        <w:t>，其警示信号价值不如选项 A 和 D 那样直接指向信息隐瞒与账户操纵。在 MSB 审查语境下，题干更支持将缺乏透明度的行为视为红旗信号，而非符合行业画像的商业行为。</w:t>
      </w:r>
    </w:p>
    <w:p>
      <w:pPr>
        <w:spacing w:before="120" w:after="40"/>
      </w:pPr>
      <w:r>
        <w:rPr>
          <w:b/>
          <w:sz w:val="21"/>
          <w:shd w:fill="D6E4F0" w:val="clear"/>
        </w:rPr>
        <w:t>C项错误</w:t>
      </w:r>
    </w:p>
    <w:p>
      <w:pPr>
        <w:spacing w:line="360" w:lineRule="auto" w:after="40"/>
        <w:ind w:firstLine="420"/>
      </w:pPr>
      <w:r>
        <w:t>教材材料未将“来自高风险司法管辖区、金额低于报告门槛的外币兑换”列为 MSB 的洗钱警示信号。相较之下，选项 A 和 D 均有教材直接对应的风险指标或洗钱技术描述，匹配度更高。</w:t>
      </w:r>
    </w:p>
    <w:p>
      <w:pPr>
        <w:spacing w:before="120" w:after="40"/>
      </w:pPr>
      <w:r>
        <w:rPr>
          <w:b/>
          <w:sz w:val="21"/>
          <w:shd w:fill="D6E4F0" w:val="clear"/>
        </w:rPr>
        <w:t>E项错误</w:t>
      </w:r>
    </w:p>
    <w:p>
      <w:pPr>
        <w:spacing w:line="360" w:lineRule="auto" w:after="40"/>
        <w:ind w:firstLine="420"/>
      </w:pPr>
      <w:r>
        <w:t>教材材料未将“经常向其本国汇出小额国际汇款”列为 MSB 的洗钱警示信号。个人向母国汇款可能存在合法的家庭或经济支持背景，在缺乏隐瞒信息或多账户操纵等附加要素时，其风险匹配度不如选项 A 和 D 直接吻合教材定义。</w:t>
      </w:r>
    </w:p>
    <w:p>
      <w:pPr>
        <w:spacing w:before="120" w:after="40"/>
      </w:pPr>
      <w:r>
        <w:rPr>
          <w:b/>
          <w:sz w:val="21"/>
          <w:shd w:fill="D6E4F0" w:val="clear"/>
        </w:rPr>
        <w:t>易错提醒</w:t>
      </w:r>
    </w:p>
    <w:p>
      <w:pPr>
        <w:spacing w:line="360" w:lineRule="auto" w:after="40"/>
        <w:ind w:firstLine="420"/>
      </w:pPr>
      <w:r>
        <w:t>警惕将“符合业务画像的高频现金存款”误判为红旗信号。教材在讲解交易监控场景开发时，以便利店、餐馆的频繁现金存款为例说明正常商业行为，而将“与客户业务画像不符的交易”列为真正的风险指标（P443-P444）。区分关键在于客户的实际活动是否透明、是否与其宣称的业务性质一致。</w:t>
      </w:r>
    </w:p>
    <w:p>
      <w:pPr>
        <w:spacing w:line="360" w:lineRule="auto" w:after="120"/>
      </w:pPr>
      <w:r/>
    </w:p>
    <w:p>
      <w:pPr>
        <w:spacing w:line="360" w:lineRule="auto" w:after="40"/>
      </w:pPr>
      <w:r>
        <w:t>7. The relationship manager in the corporate banking department at a bank is required to take specialized AML training tailored to the risks the department is most likely to encounter. Which types of content are most appropriate for this training? (Select Two.) ( )</w:t>
      </w:r>
    </w:p>
    <w:p>
      <w:pPr>
        <w:spacing w:line="360" w:lineRule="auto" w:after="20"/>
        <w:ind w:firstLine="283"/>
      </w:pPr>
      <w:r>
        <w:t>A. Money laundering typologies applicable to monetary instrument reporting</w:t>
      </w:r>
    </w:p>
    <w:p>
      <w:pPr>
        <w:spacing w:line="360" w:lineRule="auto" w:after="20"/>
        <w:ind w:firstLine="283"/>
      </w:pPr>
      <w:r>
        <w:t>B. Applicable AML laws and regulations</w:t>
      </w:r>
    </w:p>
    <w:p>
      <w:pPr>
        <w:spacing w:line="360" w:lineRule="auto" w:after="20"/>
        <w:ind w:firstLine="283"/>
      </w:pPr>
      <w:r>
        <w:t>C. Regulatory exam best practices</w:t>
      </w:r>
    </w:p>
    <w:p>
      <w:pPr>
        <w:spacing w:line="360" w:lineRule="auto" w:after="20"/>
        <w:ind w:firstLine="283"/>
      </w:pPr>
      <w:r>
        <w:t>D. Money laundering typologies applicable to corporate loans</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按岗位风险定制培训：法规基础加特定业务洗钱类型</w:t>
      </w:r>
    </w:p>
    <w:p>
      <w:pPr>
        <w:spacing w:before="120" w:after="40"/>
      </w:pPr>
      <w:r>
        <w:rPr>
          <w:b/>
          <w:sz w:val="21"/>
          <w:shd w:fill="D6E4F0" w:val="clear"/>
        </w:rPr>
        <w:t>核心解析</w:t>
      </w:r>
    </w:p>
    <w:p>
      <w:pPr>
        <w:spacing w:line="360" w:lineRule="auto" w:after="40"/>
        <w:ind w:firstLine="420"/>
      </w:pPr>
      <w:r>
        <w:t>反洗钱培训应当确保员工理解其在反洗钱法规下的职责及可疑交易报告结构</w:t>
      </w:r>
      <w:r>
        <w:rPr>
          <w:sz w:val="15"/>
          <w:vertAlign w:val="superscript"/>
        </w:rPr>
        <w:t>P255</w:t>
      </w:r>
      <w:r>
        <w:t>。同时，针对公司银行部最可能遇到的洗钱风险，培训必须包含该部门核心业务——公司贷款的洗钱类型；教材指出企业贷款中存在因复杂所有权结构（如壳公司）而难以识别受益所有人的洗钱风险</w:t>
      </w:r>
      <w:r>
        <w:rPr>
          <w:sz w:val="15"/>
          <w:vertAlign w:val="superscript"/>
        </w:rPr>
        <w:t>P77</w:t>
      </w:r>
      <w:r>
        <w:t>。因此，对公司关系经理的专项培训，内容既要涵盖适用的反洗钱法律法规（选项B），也要包含适用于公司贷款的洗钱类型（选项D），两者分别对应基础合规要求和部门特有的风险识别。</w:t>
      </w:r>
    </w:p>
    <w:p>
      <w:pPr>
        <w:spacing w:before="120" w:after="40"/>
      </w:pPr>
      <w:r>
        <w:rPr>
          <w:b/>
          <w:sz w:val="21"/>
          <w:shd w:fill="D6E4F0" w:val="clear"/>
        </w:rPr>
        <w:t>教材原句</w:t>
      </w:r>
    </w:p>
    <w:p>
      <w:pPr>
        <w:spacing w:line="360" w:lineRule="auto" w:after="40"/>
        <w:ind w:firstLine="420"/>
      </w:pPr>
      <w:r>
        <w:t>"Money laundering risks in corporate lending include difficulties in identifying beneficial owners due to complex corporate structures, including shell companies and several layers of ownership."</w:t>
      </w:r>
    </w:p>
    <w:p>
      <w:pPr>
        <w:spacing w:before="120" w:after="40"/>
      </w:pPr>
      <w:r>
        <w:rPr>
          <w:b/>
          <w:sz w:val="21"/>
          <w:shd w:fill="D6E4F0" w:val="clear"/>
        </w:rPr>
        <w:t>A项错误</w:t>
      </w:r>
    </w:p>
    <w:p>
      <w:pPr>
        <w:spacing w:line="360" w:lineRule="auto" w:after="40"/>
        <w:ind w:firstLine="420"/>
      </w:pPr>
      <w:r>
        <w:t>货币工具报告通常涉及现金、货币工具等与零售交易或出纳岗位关联更紧密的场景；公司银行部以企业贷款、复杂结构为主，日常工作中接触货币工具报告类洗钱手法的机会较少，相比选项D，A与该部门最可能遇到的风险直接匹配度更低。</w:t>
      </w:r>
    </w:p>
    <w:p>
      <w:pPr>
        <w:spacing w:before="120" w:after="40"/>
      </w:pPr>
      <w:r>
        <w:rPr>
          <w:b/>
          <w:sz w:val="21"/>
          <w:shd w:fill="D6E4F0" w:val="clear"/>
        </w:rPr>
        <w:t>C项错误</w:t>
      </w:r>
    </w:p>
    <w:p>
      <w:pPr>
        <w:spacing w:line="360" w:lineRule="auto" w:after="40"/>
        <w:ind w:firstLine="420"/>
      </w:pPr>
      <w:r>
        <w:t>监管检查最佳实践主要面向负责监管对接和合规审计的职能（如合规官或内部审计），关系经理作为一线业务人员，其培训内容更应聚焦于识别洗钱风险和履行报告职责；选项B和D分别提供了法规基础和业务洗钱类型，比C更贴合关系经理的角色需要。</w:t>
      </w:r>
    </w:p>
    <w:p>
      <w:pPr>
        <w:spacing w:line="360" w:lineRule="auto" w:after="120"/>
      </w:pPr>
      <w:r/>
    </w:p>
    <w:p>
      <w:pPr>
        <w:spacing w:line="360" w:lineRule="auto" w:after="40"/>
      </w:pPr>
      <w:r>
        <w:t>8. Which of the following indicators of potentially suspicious activity are commonly associated with high-risk business sectors and structures such as shell companies? (Select Three.) ( )</w:t>
      </w:r>
    </w:p>
    <w:p>
      <w:pPr>
        <w:spacing w:line="360" w:lineRule="auto" w:after="20"/>
        <w:ind w:firstLine="283"/>
      </w:pPr>
      <w:r>
        <w:t>A. Knowing the goods or services, if identified, do not match the profile of the company or the nature of the financial activity</w:t>
      </w:r>
    </w:p>
    <w:p>
      <w:pPr>
        <w:spacing w:line="360" w:lineRule="auto" w:after="20"/>
        <w:ind w:firstLine="283"/>
      </w:pPr>
      <w:r>
        <w:t>B. All payments are in smaller amounts below reporting thresholds but are high when aggregated, while still being consistent with standard business practices</w:t>
      </w:r>
    </w:p>
    <w:p>
      <w:pPr>
        <w:spacing w:line="360" w:lineRule="auto" w:after="20"/>
        <w:ind w:firstLine="283"/>
      </w:pPr>
      <w:r>
        <w:t>C. A company regularly conducts large-volume transactions in a medium-risk jurisdiction with longstanding business partners and provides complete documentation and audit trail records</w:t>
      </w:r>
    </w:p>
    <w:p>
      <w:pPr>
        <w:spacing w:line="360" w:lineRule="auto" w:after="20"/>
        <w:ind w:firstLine="283"/>
      </w:pPr>
      <w:r>
        <w:t>D. Insufficient information is available through searches or direct inquiries to identify the originator or beneficiary of funds transfers</w:t>
      </w:r>
    </w:p>
    <w:p>
      <w:pPr>
        <w:spacing w:line="360" w:lineRule="auto" w:after="20"/>
        <w:ind w:firstLine="283"/>
      </w:pPr>
      <w:r>
        <w:t>E. Payments have no stated purpose, do not reference goods or services, or only reference a contract or invoice number</w:t>
      </w:r>
    </w:p>
    <w:p>
      <w:pPr>
        <w:spacing w:line="360" w:lineRule="auto" w:after="40"/>
      </w:pPr>
      <w:r>
        <w:t>答案：A、D、E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识别与壳公司等高风险结构关联的交易信息缺失及画像不符的可疑指标</w:t>
      </w:r>
    </w:p>
    <w:p>
      <w:pPr>
        <w:spacing w:before="120" w:after="40"/>
      </w:pPr>
      <w:r>
        <w:rPr>
          <w:b/>
          <w:sz w:val="21"/>
          <w:shd w:fill="D6E4F0" w:val="clear"/>
        </w:rPr>
        <w:t>核心解析</w:t>
      </w:r>
    </w:p>
    <w:p>
      <w:pPr>
        <w:spacing w:line="360" w:lineRule="auto" w:after="40"/>
        <w:ind w:firstLine="420"/>
      </w:pPr>
      <w:r>
        <w:t>壳公司和复杂所有权结构可掩盖交易的真实受益人，使识别潜在洗钱风险变得困难</w:t>
      </w:r>
      <w:r>
        <w:rPr>
          <w:sz w:val="15"/>
          <w:vertAlign w:val="superscript"/>
        </w:rPr>
        <w:t>P80</w:t>
      </w:r>
      <w:r>
        <w:t>。对于高风险业务部门，如壳公司，可疑活动往往表现为交易透明度受损、信息缺失或与客户业务画像不符</w:t>
      </w:r>
      <w:r>
        <w:rPr>
          <w:sz w:val="15"/>
          <w:vertAlign w:val="superscript"/>
        </w:rPr>
        <w:t>P443</w:t>
      </w:r>
      <w:r>
        <w:t>。选项A所述商品或服务与公司性质不符，直接违背客户业务画像的一致性；选项D无法识别资金转账的发起人或受益人，典型体现了隐瞒信息及所有权结构不透明</w:t>
      </w:r>
      <w:r>
        <w:rPr>
          <w:sz w:val="15"/>
          <w:vertAlign w:val="superscript"/>
        </w:rPr>
        <w:t>P79，P80</w:t>
      </w:r>
      <w:r>
        <w:t>；选项E支付款项缺少用途或仅提及合同/发票编号，缺乏完整的交易信息，属付款信息缺失的红旗信号</w:t>
      </w:r>
      <w:r>
        <w:rPr>
          <w:sz w:val="15"/>
          <w:vertAlign w:val="superscript"/>
        </w:rPr>
        <w:t>P317</w:t>
      </w:r>
      <w:r>
        <w:t>。三者均反映了高风险结构下交易信息不充分、与正常商业逻辑偏离的特征。</w:t>
      </w:r>
    </w:p>
    <w:p>
      <w:pPr>
        <w:spacing w:before="120" w:after="40"/>
      </w:pPr>
      <w:r>
        <w:rPr>
          <w:b/>
          <w:sz w:val="21"/>
          <w:shd w:fill="D6E4F0" w:val="clear"/>
        </w:rPr>
        <w:t>教材原句</w:t>
      </w:r>
    </w:p>
    <w:p>
      <w:pPr>
        <w:spacing w:line="360" w:lineRule="auto" w:after="40"/>
        <w:ind w:firstLine="420"/>
      </w:pPr>
      <w:r>
        <w:t>"The use of shell companies and complex ownership structures can obscure the true beneficiaries of the transaction, making it difficult to identify potential money laundering risks."</w:t>
      </w:r>
    </w:p>
    <w:p>
      <w:pPr>
        <w:spacing w:before="120" w:after="40"/>
      </w:pPr>
      <w:r>
        <w:rPr>
          <w:b/>
          <w:sz w:val="21"/>
          <w:shd w:fill="D6E4F0" w:val="clear"/>
        </w:rPr>
        <w:t>B项错误</w:t>
      </w:r>
    </w:p>
    <w:p>
      <w:pPr>
        <w:spacing w:line="360" w:lineRule="auto" w:after="40"/>
        <w:ind w:firstLine="420"/>
      </w:pPr>
      <w:r>
        <w:t>选项B虽涉及支付金额低于报告门槛且累计较大，但明确提及“仍符合标准商业惯例”，这大幅削弱了可疑性。教材中结构化行为是将大额资金拆分为小额交易以规避报告门槛，且通常偏离正常商业行为</w:t>
      </w:r>
      <w:r>
        <w:rPr>
          <w:sz w:val="15"/>
          <w:vertAlign w:val="superscript"/>
        </w:rPr>
        <w:t>P17</w:t>
      </w:r>
      <w:r>
        <w:t>，因此单纯金额特征不足以构成高风险结构下的可疑指标。相比正确项A、D、E展现的信息缺失或画像不符，B更接近正常交易。</w:t>
      </w:r>
    </w:p>
    <w:p>
      <w:pPr>
        <w:spacing w:before="120" w:after="40"/>
      </w:pPr>
      <w:r>
        <w:rPr>
          <w:b/>
          <w:sz w:val="21"/>
          <w:shd w:fill="D6E4F0" w:val="clear"/>
        </w:rPr>
        <w:t>C项错误</w:t>
      </w:r>
    </w:p>
    <w:p>
      <w:pPr>
        <w:spacing w:line="360" w:lineRule="auto" w:after="40"/>
        <w:ind w:firstLine="420"/>
      </w:pPr>
      <w:r>
        <w:t>选项C描述的交易有长期合作、中等风险司法管辖区以及完整的文件和审计追踪记录，这些均指向透明、可追溯的正常业务往来，缺乏壳公司等高风险结构常见的遮掩行为或信息缺失。正确项A、D、E都反映交易信息不完整或与预期不符，因此C更接近合规交易而非可疑指标。</w:t>
      </w:r>
    </w:p>
    <w:p>
      <w:pPr>
        <w:spacing w:before="120" w:after="40"/>
      </w:pPr>
      <w:r>
        <w:rPr>
          <w:b/>
          <w:sz w:val="21"/>
          <w:shd w:fill="D6E4F0" w:val="clear"/>
        </w:rPr>
        <w:t>易错提醒</w:t>
      </w:r>
    </w:p>
    <w:p>
      <w:pPr>
        <w:spacing w:line="360" w:lineRule="auto" w:after="40"/>
        <w:ind w:firstLine="420"/>
      </w:pPr>
      <w:r>
        <w:t>结构化交易的关键是拆分金额以规避报告门槛且偏离商业惯例</w:t>
      </w:r>
      <w:r>
        <w:rPr>
          <w:sz w:val="15"/>
          <w:vertAlign w:val="superscript"/>
        </w:rPr>
        <w:t>P17</w:t>
      </w:r>
      <w:r>
        <w:t>。若交易金额低于门槛但累计较大，同时又符合标准商业惯例，则不属于可疑指标。不可单凭金额特征判断。</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