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w:t>
      </w:r>
    </w:p>
    <w:p>
      <w:pPr>
        <w:spacing w:line="360" w:lineRule="auto" w:after="160"/>
      </w:pPr>
      <w:r>
        <w:t>一、单项选择题</w:t>
      </w:r>
    </w:p>
    <w:p>
      <w:pPr>
        <w:spacing w:line="360" w:lineRule="auto" w:after="40"/>
      </w:pPr>
      <w:r>
        <w:t>1. [洗钱和恐怖融资的风险及方法]以下哪些情形表现出可疑交易的典型迹象？(选择两项.) ( )</w:t>
      </w:r>
    </w:p>
    <w:p>
      <w:pPr>
        <w:spacing w:line="360" w:lineRule="auto" w:after="20"/>
        <w:ind w:firstLine="283"/>
      </w:pPr>
      <w:r>
        <w:t>A. 一位企业主将其房产抵押给了一家最近因反洗钱违规行为而被罚款的金融机构.</w:t>
      </w:r>
    </w:p>
    <w:p>
      <w:pPr>
        <w:spacing w:line="360" w:lineRule="auto" w:after="20"/>
        <w:ind w:firstLine="283"/>
      </w:pPr>
      <w:r>
        <w:t>B. (她在该账户中是第二账户持有人)投资股票型基金.</w:t>
      </w:r>
    </w:p>
    <w:p>
      <w:pPr>
        <w:spacing w:line="360" w:lineRule="auto" w:after="20"/>
        <w:ind w:firstLine="283"/>
      </w:pPr>
      <w:r>
        <w:t>C. 某政府官员的秘书经常进入银行的保险库取款.</w:t>
      </w:r>
    </w:p>
    <w:p>
      <w:pPr>
        <w:spacing w:line="360" w:lineRule="auto" w:after="20"/>
        <w:ind w:firstLine="283"/>
      </w:pPr>
      <w:r>
        <w:t>D. 个人经常进口用于民用的精密电子设备,并缴纳所有应缴的关税.</w:t>
      </w:r>
    </w:p>
    <w:p>
      <w:pPr>
        <w:spacing w:line="360" w:lineRule="auto" w:after="20"/>
        <w:ind w:firstLine="283"/>
      </w:pPr>
      <w:r>
        <w:t>E. 有个人想向一个身处金融行动特别工作组(FATF)灰名单国家的人进行电汇,但以经济困难为由,请求一位密切的朋友代为处理</w:t>
      </w:r>
    </w:p>
    <w:p>
      <w:pPr>
        <w:spacing w:line="360" w:lineRule="auto" w:after="40"/>
      </w:pPr>
      <w:r>
        <w:t>答案:C、E</w:t>
      </w:r>
    </w:p>
    <w:p>
      <w:pPr>
        <w:spacing w:line="360" w:lineRule="auto" w:after="40"/>
      </w:pPr>
      <w:r>
        <w:t>解析：</w:t>
      </w:r>
    </w:p>
    <w:p>
      <w:pPr>
        <w:spacing w:before="120" w:after="40"/>
      </w:pPr>
      <w:r>
        <w:rPr>
          <w:b/>
          <w:sz w:val="21"/>
          <w:shd w:fill="D6E4F0" w:val="clear"/>
        </w:rPr>
        <w:t>考点</w:t>
      </w:r>
    </w:p>
    <w:p>
      <w:pPr>
        <w:spacing w:line="360" w:lineRule="auto" w:after="40"/>
        <w:ind w:firstLine="420"/>
      </w:pPr>
      <w:r>
        <w:t>依据高风险辖区及行为偏离预期识别可疑交易标志</w:t>
      </w:r>
    </w:p>
    <w:p>
      <w:pPr>
        <w:spacing w:before="120" w:after="40"/>
      </w:pPr>
      <w:r>
        <w:rPr>
          <w:b/>
          <w:sz w:val="21"/>
          <w:shd w:fill="D6E4F0" w:val="clear"/>
        </w:rPr>
        <w:t>核心解析</w:t>
      </w:r>
    </w:p>
    <w:p>
      <w:pPr>
        <w:spacing w:line="360" w:lineRule="auto" w:after="40"/>
        <w:ind w:firstLine="420"/>
      </w:pPr>
      <w:r>
        <w:t>可疑活动指标包括来自高风险司法管辖区的交易和异常收入模式</w:t>
      </w:r>
      <w:r>
        <w:rPr>
          <w:sz w:val="15"/>
          <w:vertAlign w:val="superscript"/>
        </w:rPr>
        <w:t>P15</w:t>
      </w:r>
      <w:r>
        <w:t>。FATF灰名单上的司法管辖区属于被认定为存在战略缺陷的高风险辖区</w:t>
      </w:r>
      <w:r>
        <w:rPr>
          <w:sz w:val="15"/>
          <w:vertAlign w:val="superscript"/>
        </w:rPr>
        <w:t>P144</w:t>
      </w:r>
      <w:r>
        <w:t>，与该辖区内人士进行交易，尤其是通过请朋友代汇、以经济困难为由规避直接转账，吻合高风险辖区交易并试图掩饰的可疑标志。同时，政府职员若突然频繁进行现金存取，与其固定薪水的预期行为严重偏离，即构成红旗信号</w:t>
      </w:r>
      <w:r>
        <w:rPr>
          <w:sz w:val="15"/>
          <w:vertAlign w:val="superscript"/>
        </w:rPr>
        <w:t>P436</w:t>
      </w:r>
      <w:r>
        <w:t>。题干中秘书频繁进入保险库取款，与该指标描述的异常行为模式一致，指向可能涉及贿赂等非法活动。选项C和E分别对应教材列明的这两种典型可疑交易迹象。</w:t>
      </w:r>
    </w:p>
    <w:p>
      <w:pPr>
        <w:spacing w:before="120" w:after="40"/>
      </w:pPr>
      <w:r>
        <w:rPr>
          <w:b/>
          <w:sz w:val="21"/>
          <w:shd w:fill="D6E4F0" w:val="clear"/>
        </w:rPr>
        <w:t>教材原句</w:t>
      </w:r>
    </w:p>
    <w:p>
      <w:pPr>
        <w:spacing w:line="360" w:lineRule="auto" w:after="40"/>
        <w:ind w:firstLine="420"/>
      </w:pPr>
      <w:r>
        <w:t>"Indicators of suspicious activity include financial transactions from high-risk jurisdictions and unusual revenue patterns that deviate from expectations."</w:t>
      </w:r>
    </w:p>
    <w:p>
      <w:pPr>
        <w:spacing w:before="120" w:after="40"/>
      </w:pPr>
      <w:r>
        <w:rPr>
          <w:b/>
          <w:sz w:val="21"/>
          <w:shd w:fill="D6E4F0" w:val="clear"/>
        </w:rPr>
        <w:t>A项错误</w:t>
      </w:r>
    </w:p>
    <w:p>
      <w:pPr>
        <w:spacing w:line="360" w:lineRule="auto" w:after="40"/>
        <w:ind w:firstLine="420"/>
      </w:pPr>
      <w:r>
        <w:t>金融机构被罚款属于机构自身的合规风险，教材中可疑交易标志面向客户行为模式（如高风险辖区关联、异常现金存取），而非交易对手机构的处罚历史。题干仅描述抵押行为本身，未显示出与客户行为异常的直接匹配。</w:t>
      </w:r>
    </w:p>
    <w:p>
      <w:pPr>
        <w:spacing w:before="120" w:after="40"/>
      </w:pPr>
      <w:r>
        <w:rPr>
          <w:b/>
          <w:sz w:val="21"/>
          <w:shd w:fill="D6E4F0" w:val="clear"/>
        </w:rPr>
        <w:t>B项错误</w:t>
      </w:r>
    </w:p>
    <w:p>
      <w:pPr>
        <w:spacing w:line="360" w:lineRule="auto" w:after="40"/>
        <w:ind w:firstLine="420"/>
      </w:pPr>
      <w:r>
        <w:t>作为第二账户持有人使用配偶账户投资股票基金，未显示涉及受益所有人隐匿或异常资金来源，也未关联高风险辖区。与教材中强调的行为偏离预期等可疑指标相比，当前信息不足以构成典型红旗信号。</w:t>
      </w:r>
    </w:p>
    <w:p>
      <w:pPr>
        <w:spacing w:before="120" w:after="40"/>
      </w:pPr>
      <w:r>
        <w:rPr>
          <w:b/>
          <w:sz w:val="21"/>
          <w:shd w:fill="D6E4F0" w:val="clear"/>
        </w:rPr>
        <w:t>D项错误</w:t>
      </w:r>
    </w:p>
    <w:p>
      <w:pPr>
        <w:spacing w:line="360" w:lineRule="auto" w:after="40"/>
        <w:ind w:firstLine="420"/>
      </w:pPr>
      <w:r>
        <w:t>正常进口并缴纳关税属于完全合规的贸易活动，没有体现出任何偏离预期的特征。教材关注的可疑交易标志在题干中均未出现，与C、E相比覆盖的要素缺失明显。</w:t>
      </w:r>
    </w:p>
    <w:p>
      <w:pPr>
        <w:spacing w:before="120" w:after="40"/>
      </w:pPr>
      <w:r>
        <w:rPr>
          <w:b/>
          <w:sz w:val="21"/>
          <w:shd w:fill="D6E4F0" w:val="clear"/>
        </w:rPr>
        <w:t>易错提醒</w:t>
      </w:r>
    </w:p>
    <w:p>
      <w:pPr>
        <w:spacing w:line="360" w:lineRule="auto" w:after="40"/>
        <w:ind w:firstLine="420"/>
      </w:pPr>
      <w:r>
        <w:t>注意区分客户自身的可疑行为与交易对手机构的合规风险：教材中可疑交易指标（如P15、P436）聚焦客户自身交易模式异常或与高风险辖区的关联，而非金融机构是否曾受处罚。选项A中机构被罚款不代表客户行为可疑，看到类似选项时应避免将机构风险直接等同为客户红旗信号。</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