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CH01</w:t>
      </w:r>
    </w:p>
    <w:p>
      <w:pPr>
        <w:spacing w:line="360" w:lineRule="auto" w:after="160"/>
      </w:pPr>
      <w:r>
        <w:t>一、单项选择题</w:t>
      </w:r>
    </w:p>
    <w:p>
      <w:pPr>
        <w:spacing w:line="360" w:lineRule="auto" w:after="40"/>
      </w:pPr>
      <w:r>
        <w:t>1. 逃税是: ( )</w:t>
      </w:r>
    </w:p>
    <w:p>
      <w:pPr>
        <w:spacing w:line="360" w:lineRule="auto" w:after="20"/>
        <w:ind w:firstLine="283"/>
      </w:pPr>
      <w:r>
        <w:t>A. 利用税收法律的漏洞或对税法的非预期来尽量减少应缴税款的行为</w:t>
      </w:r>
    </w:p>
    <w:p>
      <w:pPr>
        <w:spacing w:line="360" w:lineRule="auto" w:after="20"/>
        <w:ind w:firstLine="283"/>
      </w:pPr>
      <w:r>
        <w:t>B. 作为分项扣除或标准扣除而减少应纳税所得额的规定</w:t>
      </w:r>
    </w:p>
    <w:p>
      <w:pPr>
        <w:spacing w:line="360" w:lineRule="auto" w:after="20"/>
        <w:ind w:firstLine="283"/>
      </w:pPr>
      <w:r>
        <w:t>C. 一门专注于合法税务规划的专业会计学科</w:t>
      </w:r>
    </w:p>
    <w:p>
      <w:pPr>
        <w:spacing w:line="360" w:lineRule="auto" w:after="20"/>
        <w:ind w:firstLine="283"/>
      </w:pPr>
      <w:r>
        <w:t>D. 通常指故意向税务机关作虚假申报或不申报从而不缴税或少缴税的行为</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 tax evasion（非法）与 tax avoidance（合法）</w:t>
      </w:r>
    </w:p>
    <w:p>
      <w:pPr>
        <w:spacing w:before="120" w:after="40"/>
      </w:pPr>
      <w:r>
        <w:rPr>
          <w:b/>
          <w:sz w:val="21"/>
          <w:shd w:fill="D6E4F0" w:val="clear"/>
        </w:rPr>
        <w:t>核心解析</w:t>
      </w:r>
    </w:p>
    <w:p>
      <w:pPr>
        <w:spacing w:line="360" w:lineRule="auto" w:after="40"/>
        <w:ind w:firstLine="420"/>
      </w:pPr>
      <w:r>
        <w:t>逃税（tax evasion）指使用非法手段逃避纳税义务</w:t>
      </w:r>
      <w:r>
        <w:rPr>
          <w:sz w:val="15"/>
          <w:vertAlign w:val="superscript"/>
        </w:rPr>
        <w:t>P28</w:t>
      </w:r>
      <w:r>
        <w:t>，典型行为包括作虚假申报或不申报应税收入</w:t>
      </w:r>
      <w:r>
        <w:rPr>
          <w:sz w:val="15"/>
          <w:vertAlign w:val="superscript"/>
        </w:rPr>
        <w:t>P28</w:t>
      </w:r>
      <w:r>
        <w:t>。避税（tax avoidance）则是合法减少税负的行为</w:t>
      </w:r>
      <w:r>
        <w:rPr>
          <w:sz w:val="15"/>
          <w:vertAlign w:val="superscript"/>
        </w:rPr>
        <w:t>P28</w:t>
      </w:r>
      <w:r>
        <w:t>。选项D将逃税描述为“故意向税务机关作虚假申报或不申报从而不缴税或少缴税的行为”，其中“虚假申报或不申报”直接对应教材定义中的非法手段，“不缴税或少缴税”对应逃避纳税义务的结果。教材进一步将“不申报应税收入”列为逃税的典型示例</w:t>
      </w:r>
      <w:r>
        <w:rPr>
          <w:sz w:val="15"/>
          <w:vertAlign w:val="superscript"/>
        </w:rPr>
        <w:t>P28</w:t>
      </w:r>
      <w:r>
        <w:t>，与选项D形成直接映射。相比之下，A、B、C三项或指向合法行为，或与税务概念无关，与教材对逃税“非法性”的核心界定不符。</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A项错误</w:t>
      </w:r>
    </w:p>
    <w:p>
      <w:pPr>
        <w:spacing w:line="360" w:lineRule="auto" w:after="40"/>
        <w:ind w:firstLine="420"/>
      </w:pPr>
      <w:r>
        <w:t>选项A描述的是“利用税收法律的漏洞”来减少税负，这与教材对避税的定义更吻合。教材将避税定义为合法减少税负的行为</w:t>
      </w:r>
      <w:r>
        <w:rPr>
          <w:sz w:val="15"/>
          <w:vertAlign w:val="superscript"/>
        </w:rPr>
        <w:t>P28</w:t>
      </w:r>
      <w:r>
        <w:t>，并进一步将“激进避税”定义为激进地解释法律而不考虑其意图或精神</w:t>
      </w:r>
      <w:r>
        <w:rPr>
          <w:sz w:val="15"/>
          <w:vertAlign w:val="superscript"/>
        </w:rPr>
        <w:t>P28</w:t>
      </w:r>
      <w:r>
        <w:t>，选项A的“利用漏洞”与此更为接近。相比之下，正确项D所描述的“虚假申报或不申报”直接对应教材对逃税“非法手段”的界定，匹配度更高。</w:t>
      </w:r>
    </w:p>
    <w:p>
      <w:pPr>
        <w:spacing w:before="120" w:after="40"/>
      </w:pPr>
      <w:r>
        <w:rPr>
          <w:b/>
          <w:sz w:val="21"/>
          <w:shd w:fill="D6E4F0" w:val="clear"/>
        </w:rPr>
        <w:t>B项错误</w:t>
      </w:r>
    </w:p>
    <w:p>
      <w:pPr>
        <w:spacing w:line="360" w:lineRule="auto" w:after="40"/>
        <w:ind w:firstLine="420"/>
      </w:pPr>
      <w:r>
        <w:t>选项B描述的是税法中关于扣除额的规定，属于税收制度中的一个具体技术要素。题干问的是逃税这一概念的整体定义，选项B与逃税行为本身缺乏关联。教材在定义逃税和避税时并未涉及扣除额规定这一概念。</w:t>
      </w:r>
    </w:p>
    <w:p>
      <w:pPr>
        <w:spacing w:before="120" w:after="40"/>
      </w:pPr>
      <w:r>
        <w:rPr>
          <w:b/>
          <w:sz w:val="21"/>
          <w:shd w:fill="D6E4F0" w:val="clear"/>
        </w:rPr>
        <w:t>C项错误</w:t>
      </w:r>
    </w:p>
    <w:p>
      <w:pPr>
        <w:spacing w:line="360" w:lineRule="auto" w:after="40"/>
        <w:ind w:firstLine="420"/>
      </w:pPr>
      <w:r>
        <w:t>选项C将逃税描述为“专注于合法税务规划的专业会计学科”。教材明确指出税务规划与避税相关，是合法行为</w:t>
      </w:r>
      <w:r>
        <w:rPr>
          <w:sz w:val="15"/>
          <w:vertAlign w:val="superscript"/>
        </w:rPr>
        <w:t>P28</w:t>
      </w:r>
      <w:r>
        <w:t>，而逃税的核心特征在于其非法性。选项C强调的是“合法”与“学科”，与教材对逃税的定义方向相悖——逃税不是一门学科，而是一种非法行为。</w:t>
      </w:r>
    </w:p>
    <w:p>
      <w:pPr>
        <w:spacing w:before="120" w:after="40"/>
      </w:pPr>
      <w:r>
        <w:rPr>
          <w:b/>
          <w:sz w:val="21"/>
          <w:shd w:fill="D6E4F0" w:val="clear"/>
        </w:rPr>
        <w:t>易错提醒</w:t>
      </w:r>
    </w:p>
    <w:p>
      <w:pPr>
        <w:spacing w:line="360" w:lineRule="auto" w:after="40"/>
        <w:ind w:firstLine="420"/>
      </w:pPr>
      <w:r>
        <w:t>Tax evasion 与 tax avoidance 的核心区分标准是合法性：evasion 使用非法手段（虚假申报、不申报、隐藏资产），avoidance 使用合法手段（利用扣除额、税务规划、利用政策优惠）。判断时先看行为是否涉及欺骗或隐瞒，而非看结果是否少缴了税。激进避税仍属于 avoidance 范畴，但处于灰色地带。</w:t>
      </w:r>
    </w:p>
    <w:p>
      <w:pPr>
        <w:spacing w:line="360" w:lineRule="auto" w:after="120"/>
      </w:pPr>
      <w:r/>
    </w:p>
    <w:p>
      <w:pPr>
        <w:spacing w:line="360" w:lineRule="auto" w:after="40"/>
      </w:pPr>
      <w:r>
        <w:t>2. 一位富有的个人正在利用复杂的公司架构为非法伐木以及随后在该土地上非法开采资源提供便利。正在发生的是哪一类上游犯罪？ ( )</w:t>
      </w:r>
    </w:p>
    <w:p>
      <w:pPr>
        <w:spacing w:line="360" w:lineRule="auto" w:after="20"/>
        <w:ind w:firstLine="283"/>
      </w:pPr>
      <w:r>
        <w:t>A. 以贸易为基础的洗钱</w:t>
      </w:r>
    </w:p>
    <w:p>
      <w:pPr>
        <w:spacing w:line="360" w:lineRule="auto" w:after="20"/>
        <w:ind w:firstLine="283"/>
      </w:pPr>
      <w:r>
        <w:t>B. 腐败</w:t>
      </w:r>
    </w:p>
    <w:p>
      <w:pPr>
        <w:spacing w:line="360" w:lineRule="auto" w:after="20"/>
        <w:ind w:firstLine="283"/>
      </w:pPr>
      <w:r>
        <w:t>C. 非法资源贸易</w:t>
      </w:r>
    </w:p>
    <w:p>
      <w:pPr>
        <w:spacing w:line="360" w:lineRule="auto" w:after="20"/>
        <w:ind w:firstLine="283"/>
      </w:pPr>
      <w:r>
        <w:t>D. 环境犯罪</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识别非法伐木与非法采矿属于环境犯罪上游类别</w:t>
      </w:r>
    </w:p>
    <w:p>
      <w:pPr>
        <w:spacing w:before="120" w:after="40"/>
      </w:pPr>
      <w:r>
        <w:rPr>
          <w:b/>
          <w:sz w:val="21"/>
          <w:shd w:fill="D6E4F0" w:val="clear"/>
        </w:rPr>
        <w:t>核心解析</w:t>
      </w:r>
    </w:p>
    <w:p>
      <w:pPr>
        <w:spacing w:line="360" w:lineRule="auto" w:after="40"/>
        <w:ind w:firstLine="420"/>
      </w:pPr>
      <w:r>
        <w:t>教材将环境犯罪列为上游犯罪之一，包括非法伐木、盗猎和废物处理</w:t>
      </w:r>
      <w:r>
        <w:rPr>
          <w:sz w:val="15"/>
          <w:vertAlign w:val="superscript"/>
        </w:rPr>
        <w:t>P22</w:t>
      </w:r>
      <w:r>
        <w:t>。教科书进一步以案例指出，犯罪组织可能发起或勒索看似合法的伐木和采矿业务，非法获取自然资源</w:t>
      </w:r>
      <w:r>
        <w:rPr>
          <w:sz w:val="15"/>
          <w:vertAlign w:val="superscript"/>
        </w:rPr>
        <w:t>P33</w:t>
      </w:r>
      <w:r>
        <w:t>。题干描述的非法伐木及随后在该土地上的非法开采资源，直接落入环境犯罪的范畴，因此环境犯罪是正确答案。</w:t>
      </w:r>
    </w:p>
    <w:p>
      <w:pPr>
        <w:spacing w:before="120" w:after="40"/>
      </w:pPr>
      <w:r>
        <w:rPr>
          <w:b/>
          <w:sz w:val="21"/>
          <w:shd w:fill="D6E4F0" w:val="clear"/>
        </w:rPr>
        <w:t>教材原句</w:t>
      </w:r>
    </w:p>
    <w:p>
      <w:pPr>
        <w:spacing w:line="360" w:lineRule="auto" w:after="40"/>
        <w:ind w:firstLine="420"/>
      </w:pPr>
      <w:r>
        <w:t>"12. Environmental crime: Logging, poaching, and waste disposal"</w:t>
      </w:r>
    </w:p>
    <w:p>
      <w:pPr>
        <w:spacing w:before="120" w:after="40"/>
      </w:pPr>
      <w:r>
        <w:rPr>
          <w:b/>
          <w:sz w:val="21"/>
          <w:shd w:fill="D6E4F0" w:val="clear"/>
        </w:rPr>
        <w:t>A项错误</w:t>
      </w:r>
    </w:p>
    <w:p>
      <w:pPr>
        <w:spacing w:line="360" w:lineRule="auto" w:after="40"/>
        <w:ind w:firstLine="420"/>
      </w:pPr>
      <w:r>
        <w:t>以贸易为基础的洗钱是洗钱方法，指通过操纵贸易发票、海关申报等转移非法资金</w:t>
      </w:r>
      <w:r>
        <w:rPr>
          <w:sz w:val="15"/>
          <w:vertAlign w:val="superscript"/>
        </w:rPr>
        <w:t>P18、P76</w:t>
      </w:r>
      <w:r>
        <w:t>，并非上游犯罪类别。题干描述的是非法伐木与开采资源产生犯罪收益的行为，未涉及贸易交易或价格操纵，在教材框架下匹配度不如环境犯罪直接。</w:t>
      </w:r>
    </w:p>
    <w:p>
      <w:pPr>
        <w:spacing w:before="120" w:after="40"/>
      </w:pPr>
      <w:r>
        <w:rPr>
          <w:b/>
          <w:sz w:val="21"/>
          <w:shd w:fill="D6E4F0" w:val="clear"/>
        </w:rPr>
        <w:t>B项错误</w:t>
      </w:r>
    </w:p>
    <w:p>
      <w:pPr>
        <w:spacing w:line="360" w:lineRule="auto" w:after="40"/>
        <w:ind w:firstLine="420"/>
      </w:pPr>
      <w:r>
        <w:t>腐败指滥用委托权力谋取私利，包括贿赂、贪污等</w:t>
      </w:r>
      <w:r>
        <w:rPr>
          <w:sz w:val="15"/>
          <w:vertAlign w:val="superscript"/>
        </w:rPr>
        <w:t>P25</w:t>
      </w:r>
      <w:r>
        <w:t>。题干未提及任何官员滥用权力或收受贿赂的情节，尽管环境犯罪有时伴随腐败，但问题指向正在发生的上游犯罪本身，环境犯罪比腐败更直接匹配题干事实。</w:t>
      </w:r>
    </w:p>
    <w:p>
      <w:pPr>
        <w:spacing w:before="120" w:after="40"/>
      </w:pPr>
      <w:r>
        <w:rPr>
          <w:b/>
          <w:sz w:val="21"/>
          <w:shd w:fill="D6E4F0" w:val="clear"/>
        </w:rPr>
        <w:t>C项错误</w:t>
      </w:r>
    </w:p>
    <w:p>
      <w:pPr>
        <w:spacing w:line="360" w:lineRule="auto" w:after="40"/>
        <w:ind w:firstLine="420"/>
      </w:pPr>
      <w:r>
        <w:t>教材在上游犯罪清单中未将“非法资源贸易”列为独立类别，而将伐木、采矿等活动明确归入环境犯罪</w:t>
      </w:r>
      <w:r>
        <w:rPr>
          <w:sz w:val="15"/>
          <w:vertAlign w:val="superscript"/>
        </w:rPr>
        <w:t>P22</w:t>
      </w:r>
      <w:r>
        <w:t>。题干行为直接对应环境犯罪中的具体要素，因此环境犯罪比非法资源贸易更吻合教材的定义。</w:t>
      </w:r>
    </w:p>
    <w:p>
      <w:pPr>
        <w:spacing w:before="120" w:after="40"/>
      </w:pPr>
      <w:r>
        <w:rPr>
          <w:b/>
          <w:sz w:val="21"/>
          <w:shd w:fill="D6E4F0" w:val="clear"/>
        </w:rPr>
        <w:t>易错提醒</w:t>
      </w:r>
    </w:p>
    <w:p>
      <w:pPr>
        <w:spacing w:line="360" w:lineRule="auto" w:after="40"/>
        <w:ind w:firstLine="420"/>
      </w:pPr>
      <w:r>
        <w:t>教材列举的上游犯罪中包含“环境犯罪”（含伐木、盗猎、废物处理），并未设置“非法资源贸易”这一独立类别。遇到非法获取自然资源的行为，应优先识别为环境犯罪。</w:t>
      </w:r>
    </w:p>
    <w:p>
      <w:pPr>
        <w:spacing w:line="360" w:lineRule="auto" w:after="120"/>
      </w:pPr>
      <w:r/>
    </w:p>
    <w:p>
      <w:pPr>
        <w:spacing w:line="360" w:lineRule="auto" w:after="40"/>
      </w:pPr>
      <w:r>
        <w:t>3. 逃税是: ( )</w:t>
      </w:r>
    </w:p>
    <w:p>
      <w:pPr>
        <w:spacing w:line="360" w:lineRule="auto" w:after="20"/>
        <w:ind w:firstLine="283"/>
      </w:pPr>
      <w:r>
        <w:t>A. 故意不缴纳应缴税款的行为.</w:t>
      </w:r>
    </w:p>
    <w:p>
      <w:pPr>
        <w:spacing w:line="360" w:lineRule="auto" w:after="20"/>
        <w:ind w:firstLine="283"/>
      </w:pPr>
      <w:r>
        <w:t>B. 违规操作以少缴应缴税款.</w:t>
      </w:r>
    </w:p>
    <w:p>
      <w:pPr>
        <w:spacing w:line="360" w:lineRule="auto" w:after="20"/>
        <w:ind w:firstLine="283"/>
      </w:pPr>
      <w:r>
        <w:t>C. 不是重要犯罪,因为它对社会没有影响.</w:t>
      </w:r>
    </w:p>
    <w:p>
      <w:pPr>
        <w:spacing w:line="360" w:lineRule="auto" w:after="20"/>
        <w:ind w:firstLine="283"/>
      </w:pPr>
      <w:r>
        <w:t>D. 一个复杂的流程,其含义总是与避税相同.</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逃税的定义特征及其与避税的区别</w:t>
      </w:r>
    </w:p>
    <w:p>
      <w:pPr>
        <w:spacing w:before="120" w:after="40"/>
      </w:pPr>
      <w:r>
        <w:rPr>
          <w:b/>
          <w:sz w:val="21"/>
          <w:shd w:fill="D6E4F0" w:val="clear"/>
        </w:rPr>
        <w:t>核心解析</w:t>
      </w:r>
    </w:p>
    <w:p>
      <w:pPr>
        <w:spacing w:line="360" w:lineRule="auto" w:after="40"/>
        <w:ind w:firstLine="420"/>
      </w:pPr>
      <w:r>
        <w:t>逃税指使用非法手段逃避纳税义务</w:t>
      </w:r>
      <w:r>
        <w:rPr>
          <w:sz w:val="15"/>
          <w:vertAlign w:val="superscript"/>
        </w:rPr>
        <w:t>P28</w:t>
      </w:r>
      <w:r>
        <w:t>。选项A“故意不缴纳应缴税款”直接抓住了非法性（illegal practices）和主观故意（deliberate attempt）这两个核心要素，与教材定义“使用非法手段逃避纳税义务”高度吻合。逃税是违法行为，可导致刑事指控和重大处罚</w:t>
      </w:r>
      <w:r>
        <w:rPr>
          <w:sz w:val="15"/>
          <w:vertAlign w:val="superscript"/>
        </w:rPr>
        <w:t>P28</w:t>
      </w:r>
      <w:r>
        <w:t>，且本身就是洗钱的上游犯罪</w:t>
      </w:r>
      <w:r>
        <w:rPr>
          <w:sz w:val="15"/>
          <w:vertAlign w:val="superscript"/>
        </w:rPr>
        <w:t>P28</w:t>
      </w:r>
      <w:r>
        <w:t>。题干问的是“逃税是什么”，选项A给出的定义在概念内涵上与教材表述一致——关键词“故意”对应主观要素，“应缴税款”对应法律义务，“不缴纳”对应逃避行为。</w:t>
      </w:r>
    </w:p>
    <w:p>
      <w:pPr>
        <w:spacing w:before="120" w:after="40"/>
      </w:pPr>
      <w:r>
        <w:rPr>
          <w:b/>
          <w:sz w:val="21"/>
          <w:shd w:fill="D6E4F0" w:val="clear"/>
        </w:rPr>
        <w:t>教材原句</w:t>
      </w:r>
    </w:p>
    <w:p>
      <w:pPr>
        <w:spacing w:line="360" w:lineRule="auto" w:after="40"/>
        <w:ind w:firstLine="420"/>
      </w:pPr>
      <w:r>
        <w:t>"Tax evasion is the use of illegal practices to avoid paying a tax liability."</w:t>
      </w:r>
    </w:p>
    <w:p>
      <w:pPr>
        <w:spacing w:before="120" w:after="40"/>
      </w:pPr>
      <w:r>
        <w:rPr>
          <w:b/>
          <w:sz w:val="21"/>
          <w:shd w:fill="D6E4F0" w:val="clear"/>
        </w:rPr>
        <w:t>B项错误</w:t>
      </w:r>
    </w:p>
    <w:p>
      <w:pPr>
        <w:spacing w:line="360" w:lineRule="auto" w:after="40"/>
        <w:ind w:firstLine="420"/>
      </w:pPr>
      <w:r>
        <w:t>选项B的英文原文“bending the rules”意为钻规则的空子，更接近教材中“激进避税”的描述——激进地解释法律而不考虑其意图或精神</w:t>
      </w:r>
      <w:r>
        <w:rPr>
          <w:sz w:val="15"/>
          <w:vertAlign w:val="superscript"/>
        </w:rPr>
        <w:t>P28</w:t>
      </w:r>
      <w:r>
        <w:t>，仍属合法范畴。相比之下，选项A的“故意的非法行为”更直接吻合教材对逃税的定义。</w:t>
      </w:r>
    </w:p>
    <w:p>
      <w:pPr>
        <w:spacing w:before="120" w:after="40"/>
      </w:pPr>
      <w:r>
        <w:rPr>
          <w:b/>
          <w:sz w:val="21"/>
          <w:shd w:fill="D6E4F0" w:val="clear"/>
        </w:rPr>
        <w:t>C项错误</w:t>
      </w:r>
    </w:p>
    <w:p>
      <w:pPr>
        <w:spacing w:line="360" w:lineRule="auto" w:after="40"/>
        <w:ind w:firstLine="420"/>
      </w:pPr>
      <w:r>
        <w:t>“不是重要犯罪，对社会没有影响”与教材直接矛盾。逃税是洗钱的上游犯罪</w:t>
      </w:r>
      <w:r>
        <w:rPr>
          <w:sz w:val="15"/>
          <w:vertAlign w:val="superscript"/>
        </w:rPr>
        <w:t>P28</w:t>
      </w:r>
      <w:r>
        <w:t>，违法且面临刑事指控和重大处罚</w:t>
      </w:r>
      <w:r>
        <w:rPr>
          <w:sz w:val="15"/>
          <w:vertAlign w:val="superscript"/>
        </w:rPr>
        <w:t>P28</w:t>
      </w:r>
      <w:r>
        <w:t>，同时金融犯罪整体破坏经济稳定并带来负面社会后果</w:t>
      </w:r>
      <w:r>
        <w:rPr>
          <w:sz w:val="15"/>
          <w:vertAlign w:val="superscript"/>
        </w:rPr>
        <w:t>P43</w:t>
      </w:r>
      <w:r>
        <w:t>。</w:t>
      </w:r>
    </w:p>
    <w:p>
      <w:pPr>
        <w:spacing w:before="120" w:after="40"/>
      </w:pPr>
      <w:r>
        <w:rPr>
          <w:b/>
          <w:sz w:val="21"/>
          <w:shd w:fill="D6E4F0" w:val="clear"/>
        </w:rPr>
        <w:t>D项错误</w:t>
      </w:r>
    </w:p>
    <w:p>
      <w:pPr>
        <w:spacing w:line="360" w:lineRule="auto" w:after="40"/>
        <w:ind w:firstLine="420"/>
      </w:pPr>
      <w:r>
        <w:t>“总是与避税相同”与教材明确矛盾。避税是合法减少税负的行为</w:t>
      </w:r>
      <w:r>
        <w:rPr>
          <w:sz w:val="15"/>
          <w:vertAlign w:val="superscript"/>
        </w:rPr>
        <w:t>P28</w:t>
      </w:r>
      <w:r>
        <w:t>，逃税是使用非法手段逃避纳税义务，两者在法律性质上有根本区别，教材在多处对二者进行了区分</w:t>
      </w:r>
      <w:r>
        <w:rPr>
          <w:sz w:val="15"/>
          <w:vertAlign w:val="superscript"/>
        </w:rPr>
        <w:t>P28、P123</w:t>
      </w:r>
      <w:r>
        <w:t>。</w:t>
      </w:r>
    </w:p>
    <w:p>
      <w:pPr>
        <w:spacing w:before="120" w:after="40"/>
      </w:pPr>
      <w:r>
        <w:rPr>
          <w:b/>
          <w:sz w:val="21"/>
          <w:shd w:fill="D6E4F0" w:val="clear"/>
        </w:rPr>
        <w:t>易错提醒</w:t>
      </w:r>
    </w:p>
    <w:p>
      <w:pPr>
        <w:spacing w:line="360" w:lineRule="auto" w:after="40"/>
        <w:ind w:firstLine="420"/>
      </w:pPr>
      <w:r>
        <w:t>逃税（tax evasion）与避税（tax avoidance）的核心区别在于合法性：逃税使用非法手段如伪造记录或隐瞒收入</w:t>
      </w:r>
      <w:r>
        <w:rPr>
          <w:sz w:val="15"/>
          <w:vertAlign w:val="superscript"/>
        </w:rPr>
        <w:t>P123</w:t>
      </w:r>
      <w:r>
        <w:t>，面临刑事处罚；避税是合法地减少税负，如利用税前储蓄政策</w:t>
      </w:r>
      <w:r>
        <w:rPr>
          <w:sz w:val="15"/>
          <w:vertAlign w:val="superscript"/>
        </w:rPr>
        <w:t>P28</w:t>
      </w:r>
      <w:r>
        <w:t>。bending the rules（钻空子）属于合法的避税范畴，不是逃税。</w:t>
      </w:r>
    </w:p>
    <w:p>
      <w:pPr>
        <w:spacing w:line="360" w:lineRule="auto" w:after="120"/>
      </w:pPr>
      <w:r/>
    </w:p>
    <w:p>
      <w:pPr>
        <w:spacing w:line="360" w:lineRule="auto" w:after="40"/>
      </w:pPr>
      <w:r>
        <w:t>4. 一位欧盟信托和公司服务提供商的分析师在查看一位客户的财务报表和详细的分类账时,发现了一些异常活动.该客户从事机械进出口业务.哪项交易指标需要进一步上报给合规官？ ( )</w:t>
      </w:r>
    </w:p>
    <w:p>
      <w:pPr>
        <w:spacing w:line="360" w:lineRule="auto" w:after="20"/>
        <w:ind w:firstLine="283"/>
      </w:pPr>
      <w:r>
        <w:t>A. 向位于税收优惠地区的外国公司支付公司秘书服务费</w:t>
      </w:r>
    </w:p>
    <w:p>
      <w:pPr>
        <w:spacing w:line="360" w:lineRule="auto" w:after="20"/>
        <w:ind w:firstLine="283"/>
      </w:pPr>
      <w:r>
        <w:t>B. 海外虚拟办公室服务的支付</w:t>
      </w:r>
    </w:p>
    <w:p>
      <w:pPr>
        <w:spacing w:line="360" w:lineRule="auto" w:after="20"/>
        <w:ind w:firstLine="283"/>
      </w:pPr>
      <w:r>
        <w:t>C. 母公司向子公司提供的用于支付机械设备运输费用的公司间贷款</w:t>
      </w:r>
    </w:p>
    <w:p>
      <w:pPr>
        <w:spacing w:line="360" w:lineRule="auto" w:after="20"/>
        <w:ind w:firstLine="283"/>
      </w:pPr>
      <w:r>
        <w:t>D. 向在外国司法管辖区设立的无关联公司及服务提供商支付咨询费</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识别贿赂/腐败场景中“咨询费+外国无关联方”的风险指标</w:t>
      </w:r>
    </w:p>
    <w:p>
      <w:pPr>
        <w:spacing w:before="120" w:after="40"/>
      </w:pPr>
      <w:r>
        <w:rPr>
          <w:b/>
          <w:sz w:val="21"/>
          <w:shd w:fill="D6E4F0" w:val="clear"/>
        </w:rPr>
        <w:t>核心解析</w:t>
      </w:r>
    </w:p>
    <w:p>
      <w:pPr>
        <w:spacing w:line="360" w:lineRule="auto" w:after="40"/>
        <w:ind w:firstLine="420"/>
      </w:pPr>
      <w:r>
        <w:t>教材在“金融犯罪类型”章节中提出了一条明确的交易监控要求：对高风险司法管辖区的个人或中介支付的“咨询费”加强可疑活动监控</w:t>
      </w:r>
      <w:r>
        <w:rPr>
          <w:sz w:val="15"/>
          <w:vertAlign w:val="superscript"/>
        </w:rPr>
        <w:t>P27</w:t>
      </w:r>
      <w:r>
        <w:t>。同时，教材指出在高风险地区使用中介的跨国公司面临更高的贿赂风险</w:t>
      </w:r>
      <w:r>
        <w:rPr>
          <w:sz w:val="15"/>
          <w:vertAlign w:val="superscript"/>
        </w:rPr>
        <w:t>P27</w:t>
      </w:r>
      <w:r>
        <w:t>，企业贿赂常涉及第三方、壳公司和虚假发票</w:t>
      </w:r>
      <w:r>
        <w:rPr>
          <w:sz w:val="15"/>
          <w:vertAlign w:val="superscript"/>
        </w:rPr>
        <w:t>P27</w:t>
      </w:r>
      <w:r>
        <w:t>，虚增咨询费正是掩盖非法资金流动的典型手段</w:t>
      </w:r>
      <w:r>
        <w:rPr>
          <w:sz w:val="15"/>
          <w:vertAlign w:val="superscript"/>
        </w:rPr>
        <w:t>P26</w:t>
      </w:r>
      <w:r>
        <w:t>。题干中，客户从事机械进出口，向在外国司法管辖区设立的无关联公司及服务提供商支付咨询费——这一交易结构恰好踩中了“外国司法管辖区”“无关联第三方”“咨询费”三个风险要素的组合。相比之下，其他选项要么缺乏教材明确标记为高风险的“咨询费”要素，要么交易对手方为关联实体（母子公司），在教材框架下，它们与贿赂/腐败风险指标的匹配度不如选项D直接。</w:t>
      </w:r>
    </w:p>
    <w:p>
      <w:pPr>
        <w:spacing w:before="120" w:after="40"/>
      </w:pPr>
      <w:r>
        <w:rPr>
          <w:b/>
          <w:sz w:val="21"/>
          <w:shd w:fill="D6E4F0" w:val="clear"/>
        </w:rPr>
        <w:t>教材原句</w:t>
      </w:r>
    </w:p>
    <w:p>
      <w:pPr>
        <w:spacing w:line="360" w:lineRule="auto" w:after="40"/>
        <w:ind w:firstLine="420"/>
      </w:pPr>
      <w:r>
        <w:t>"Enhance transaction monitoring for suspicious activities, especially regarding “consultancy fees” to individuals or intermediaries located in high-risk jurisdictions."</w:t>
      </w:r>
    </w:p>
    <w:p>
      <w:pPr>
        <w:spacing w:before="120" w:after="40"/>
      </w:pPr>
      <w:r>
        <w:rPr>
          <w:b/>
          <w:sz w:val="21"/>
          <w:shd w:fill="D6E4F0" w:val="clear"/>
        </w:rPr>
        <w:t>A项错误</w:t>
      </w:r>
    </w:p>
    <w:p>
      <w:pPr>
        <w:spacing w:line="360" w:lineRule="auto" w:after="40"/>
        <w:ind w:firstLine="420"/>
      </w:pPr>
      <w:r>
        <w:t>教材将公司秘书的职责描述为确保公司治理合规、维护记录、提交年报等</w:t>
      </w:r>
      <w:r>
        <w:rPr>
          <w:sz w:val="15"/>
          <w:vertAlign w:val="superscript"/>
        </w:rPr>
        <w:t>P126</w:t>
      </w:r>
      <w:r>
        <w:t>，支付公司秘书服务费本身属于TCSP的正常业务范畴。题干提及的“税收优惠地区”虽可能引发税务考量，但教材在贿赂风险框架下重点监控的是“咨询费”而非常规公司秘书费用，D与教材风险指标的匹配度更高。</w:t>
      </w:r>
    </w:p>
    <w:p>
      <w:pPr>
        <w:spacing w:before="120" w:after="40"/>
      </w:pPr>
      <w:r>
        <w:rPr>
          <w:b/>
          <w:sz w:val="21"/>
          <w:shd w:fill="D6E4F0" w:val="clear"/>
        </w:rPr>
        <w:t>B项错误</w:t>
      </w:r>
    </w:p>
    <w:p>
      <w:pPr>
        <w:spacing w:line="360" w:lineRule="auto" w:after="40"/>
        <w:ind w:firstLine="420"/>
      </w:pPr>
      <w:r>
        <w:t>题干未提供“虚拟办公室服务”与洗钱或贿赂风险之间联系的教材证据，材料中也未将此项服务标记为需要升级上报的交易指标。相比之下，D中的“咨询费”在教材中有直接的风险监控要求，匹配度明显更强。</w:t>
      </w:r>
    </w:p>
    <w:p>
      <w:pPr>
        <w:spacing w:before="120" w:after="40"/>
      </w:pPr>
      <w:r>
        <w:rPr>
          <w:b/>
          <w:sz w:val="21"/>
          <w:shd w:fill="D6E4F0" w:val="clear"/>
        </w:rPr>
        <w:t>C项错误</w:t>
      </w:r>
    </w:p>
    <w:p>
      <w:pPr>
        <w:spacing w:line="360" w:lineRule="auto" w:after="40"/>
        <w:ind w:firstLine="420"/>
      </w:pPr>
      <w:r>
        <w:t>教材指出无关联第三方之间的贷款协议缺乏合法经济理由，可能用于转移非法资金</w:t>
      </w:r>
      <w:r>
        <w:rPr>
          <w:sz w:val="15"/>
          <w:vertAlign w:val="superscript"/>
        </w:rPr>
        <w:t>P128</w:t>
      </w:r>
      <w:r>
        <w:t>。但题干中贷款发生在母公司与子公司之间，属于关联方交易，且明确用于支付机械设备运输费用，具有商业实质。在教材框架下，关联方贷款的风险指标匹配度不如D中向无关联方支付的咨询费直接。</w:t>
      </w:r>
    </w:p>
    <w:p>
      <w:pPr>
        <w:spacing w:before="120" w:after="40"/>
      </w:pPr>
      <w:r>
        <w:rPr>
          <w:b/>
          <w:sz w:val="21"/>
          <w:shd w:fill="D6E4F0" w:val="clear"/>
        </w:rPr>
        <w:t>易错提醒</w:t>
      </w:r>
    </w:p>
    <w:p>
      <w:pPr>
        <w:spacing w:line="360" w:lineRule="auto" w:after="40"/>
        <w:ind w:firstLine="420"/>
      </w:pPr>
      <w:r>
        <w:t>区分“附属机构”与“无关联第三方”：教材将贷款风险聚焦于“无关联第三方之间”的协议</w:t>
      </w:r>
      <w:r>
        <w:rPr>
          <w:sz w:val="15"/>
          <w:vertAlign w:val="superscript"/>
        </w:rPr>
        <w:t>P128</w:t>
      </w:r>
      <w:r>
        <w:t>，母子公司属于关联方，存在合法经济理由时不触发同等风险。而咨询费风险指标不要求区分关联与否，向外部的无关联公司支付咨询费本身即构成教材明确要求监控的场景</w:t>
      </w:r>
      <w:r>
        <w:rPr>
          <w:sz w:val="15"/>
          <w:vertAlign w:val="superscript"/>
        </w:rPr>
        <w:t>P27</w:t>
      </w:r>
      <w:r>
        <w:t>。</w:t>
      </w:r>
    </w:p>
    <w:p>
      <w:pPr>
        <w:spacing w:line="360" w:lineRule="auto" w:after="120"/>
      </w:pPr>
      <w:r/>
    </w:p>
    <w:p>
      <w:pPr>
        <w:spacing w:line="360" w:lineRule="auto" w:after="40"/>
      </w:pPr>
      <w:r>
        <w:t>5. [洗钱和恐怖融资的风险及方法]哪些犯罪活动可能构成金融犯罪或洗钱活动的上游犯罪？(选择三项.) ( )</w:t>
      </w:r>
    </w:p>
    <w:p>
      <w:pPr>
        <w:spacing w:line="360" w:lineRule="auto" w:after="20"/>
        <w:ind w:firstLine="283"/>
      </w:pPr>
      <w:r>
        <w:t>A. 袭击</w:t>
      </w:r>
    </w:p>
    <w:p>
      <w:pPr>
        <w:spacing w:line="360" w:lineRule="auto" w:after="20"/>
        <w:ind w:firstLine="283"/>
      </w:pPr>
      <w:r>
        <w:t>B. 纵火罪</w:t>
      </w:r>
    </w:p>
    <w:p>
      <w:pPr>
        <w:spacing w:line="360" w:lineRule="auto" w:after="20"/>
        <w:ind w:firstLine="283"/>
      </w:pPr>
      <w:r>
        <w:t>C. 贿赂或腐败</w:t>
      </w:r>
    </w:p>
    <w:p>
      <w:pPr>
        <w:spacing w:line="360" w:lineRule="auto" w:after="20"/>
        <w:ind w:firstLine="283"/>
      </w:pPr>
      <w:r>
        <w:t>D. 诈骗</w:t>
      </w:r>
    </w:p>
    <w:p>
      <w:pPr>
        <w:spacing w:line="360" w:lineRule="auto" w:after="20"/>
        <w:ind w:firstLine="283"/>
      </w:pPr>
      <w:r>
        <w:t>E. 有组织犯罪或敲诈勒索罪</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判断哪些犯罪属于 FATF 指定的上游犯罪（predicate offense）</w:t>
      </w:r>
    </w:p>
    <w:p>
      <w:pPr>
        <w:spacing w:before="120" w:after="40"/>
      </w:pPr>
      <w:r>
        <w:rPr>
          <w:b/>
          <w:sz w:val="21"/>
          <w:shd w:fill="D6E4F0" w:val="clear"/>
        </w:rPr>
        <w:t>核心解析</w:t>
      </w:r>
    </w:p>
    <w:p>
      <w:pPr>
        <w:spacing w:line="360" w:lineRule="auto" w:after="40"/>
        <w:ind w:firstLine="420"/>
      </w:pPr>
      <w:r>
        <w:t>导致洗钱的犯罪活动称为“上游犯罪”（predicate crimes）</w:t>
      </w:r>
      <w:r>
        <w:rPr>
          <w:sz w:val="15"/>
          <w:vertAlign w:val="superscript"/>
        </w:rPr>
        <w:t>P16</w:t>
      </w:r>
      <w:r>
        <w:t>。FATF 确定了 21 类上游犯罪，金融机构在反洗钱合规中必须识别和监控这些犯罪</w:t>
      </w:r>
      <w:r>
        <w:rPr>
          <w:sz w:val="15"/>
          <w:vertAlign w:val="superscript"/>
        </w:rPr>
        <w:t>P21</w:t>
      </w:r>
      <w:r>
        <w:t>。这 21 类中明确包含：参与有组织犯罪集团和敲诈勒索（第 1 类，P21）、腐败和贿赂（第 8 类，P22）、欺诈（第 9 类，P22）。教材上游犯罪示例也列举了贿赂和欺诈</w:t>
      </w:r>
      <w:r>
        <w:rPr>
          <w:sz w:val="15"/>
          <w:vertAlign w:val="superscript"/>
        </w:rPr>
        <w:t>P16</w:t>
      </w:r>
      <w:r>
        <w:t>。C、D、E 分别直接对应这三类，属于教材明确定义的上游犯罪。</w:t>
      </w:r>
    </w:p>
    <w:p>
      <w:pPr>
        <w:spacing w:before="120" w:after="40"/>
      </w:pPr>
      <w:r>
        <w:rPr>
          <w:b/>
          <w:sz w:val="21"/>
          <w:shd w:fill="D6E4F0" w:val="clear"/>
        </w:rPr>
        <w:t>教材原句</w:t>
      </w:r>
    </w:p>
    <w:p>
      <w:pPr>
        <w:spacing w:line="360" w:lineRule="auto" w:after="40"/>
        <w:ind w:firstLine="420"/>
      </w:pPr>
      <w:r>
        <w:t>"1. Participation in an organized criminal group and racketeering: Engaging in systemic financial crimes"</w:t>
      </w:r>
    </w:p>
    <w:p>
      <w:pPr>
        <w:spacing w:before="120" w:after="40"/>
      </w:pPr>
      <w:r>
        <w:rPr>
          <w:b/>
          <w:sz w:val="21"/>
          <w:shd w:fill="D6E4F0" w:val="clear"/>
        </w:rPr>
        <w:t>A项错误</w:t>
      </w:r>
    </w:p>
    <w:p>
      <w:pPr>
        <w:spacing w:line="360" w:lineRule="auto" w:after="40"/>
        <w:ind w:firstLine="420"/>
      </w:pPr>
      <w:r>
        <w:t>“袭击”（Assault）不在 FATF 的 21 类上游犯罪清单中。教材在上游犯罪清单中列出的暴力犯罪是“谋杀和严重身体伤害”（第 13 类），其限定条件是“出于财务动机”</w:t>
      </w:r>
      <w:r>
        <w:rPr>
          <w:sz w:val="15"/>
          <w:vertAlign w:val="superscript"/>
        </w:rPr>
        <w:t>P22</w:t>
      </w:r>
      <w:r>
        <w:t>。袭击通常不以产生非法所得为目的，与“能产生犯罪收益进而需要清洗”的上游犯罪特征匹配度不如 C、D、E。</w:t>
      </w:r>
    </w:p>
    <w:p>
      <w:pPr>
        <w:spacing w:before="120" w:after="40"/>
      </w:pPr>
      <w:r>
        <w:rPr>
          <w:b/>
          <w:sz w:val="21"/>
          <w:shd w:fill="D6E4F0" w:val="clear"/>
        </w:rPr>
        <w:t>B项错误</w:t>
      </w:r>
    </w:p>
    <w:p>
      <w:pPr>
        <w:spacing w:line="360" w:lineRule="auto" w:after="40"/>
        <w:ind w:firstLine="420"/>
      </w:pPr>
      <w:r>
        <w:t>“纵火罪”（Arson）同样不在 FATF 的 21 类清单中。纵火可能出于报复、恐吓等非财务动机，未必产生可被清洗的犯罪所得。相比之下，C（贿赂或腐败）、D（诈骗）、E（有组织犯罪或敲诈勒索）在教材中直接被列为上游犯罪，匹配度远高于 B。</w:t>
      </w:r>
    </w:p>
    <w:p>
      <w:pPr>
        <w:spacing w:before="120" w:after="40"/>
      </w:pPr>
      <w:r>
        <w:rPr>
          <w:b/>
          <w:sz w:val="21"/>
          <w:shd w:fill="D6E4F0" w:val="clear"/>
        </w:rPr>
        <w:t>易错提醒</w:t>
      </w:r>
    </w:p>
    <w:p>
      <w:pPr>
        <w:spacing w:line="360" w:lineRule="auto" w:after="40"/>
        <w:ind w:firstLine="420"/>
      </w:pPr>
      <w:r>
        <w:t>上游犯罪的核心特征是“能产生非法所得”。不是所有犯罪都是上游犯罪——只有那些能产生犯罪收益、进而需要通过洗钱来掩饰来源的犯罪，才会被 FATF 列入上游犯罪清单。暴力犯罪（如袭击、纵火）若不涉及财务动机，通常不在此列。</w:t>
      </w:r>
    </w:p>
    <w:p>
      <w:pPr>
        <w:spacing w:line="360" w:lineRule="auto" w:after="120"/>
      </w:pPr>
      <w:r/>
    </w:p>
    <w:p>
      <w:pPr>
        <w:spacing w:line="360" w:lineRule="auto" w:after="40"/>
      </w:pPr>
      <w:r>
        <w:t>6. 一家公司对犯罪组织的吸引力程度受以下两个因素影响: ( )</w:t>
      </w:r>
    </w:p>
    <w:p>
      <w:pPr>
        <w:spacing w:line="360" w:lineRule="auto" w:after="20"/>
        <w:ind w:firstLine="283"/>
      </w:pPr>
      <w:r>
        <w:t>A. 与该司法管辖区相关的年度费用金额</w:t>
      </w:r>
    </w:p>
    <w:p>
      <w:pPr>
        <w:spacing w:line="360" w:lineRule="auto" w:after="20"/>
        <w:ind w:firstLine="283"/>
      </w:pPr>
      <w:r>
        <w:t>B. 无记名股票的可发行性</w:t>
      </w:r>
    </w:p>
    <w:p>
      <w:pPr>
        <w:spacing w:line="360" w:lineRule="auto" w:after="20"/>
        <w:ind w:firstLine="283"/>
      </w:pPr>
      <w:r>
        <w:t>C. 该司法管辖区关于披露受益所有权的规定</w:t>
      </w:r>
    </w:p>
    <w:p>
      <w:pPr>
        <w:spacing w:line="360" w:lineRule="auto" w:after="20"/>
        <w:ind w:firstLine="283"/>
      </w:pPr>
      <w:r>
        <w:t>D. 前往该司法管辖区的便利性</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识别所有权隐藏手段对犯罪组织吸引力的影响</w:t>
      </w:r>
    </w:p>
    <w:p>
      <w:pPr>
        <w:spacing w:before="120" w:after="40"/>
      </w:pPr>
      <w:r>
        <w:rPr>
          <w:b/>
          <w:sz w:val="21"/>
          <w:shd w:fill="D6E4F0" w:val="clear"/>
        </w:rPr>
        <w:t>核心解析</w:t>
      </w:r>
    </w:p>
    <w:p>
      <w:pPr>
        <w:spacing w:line="360" w:lineRule="auto" w:after="40"/>
        <w:ind w:firstLine="420"/>
      </w:pPr>
      <w:r>
        <w:t>犯罪组织选择公司结构时，核心目标是隐藏真实所有权。教材指出，所有权相关规避（ownership-related evasion）通过复杂公司结构、代理人、不记名股票以及稀释所有权来实现</w:t>
      </w:r>
      <w:r>
        <w:rPr>
          <w:sz w:val="15"/>
          <w:vertAlign w:val="superscript"/>
        </w:rPr>
        <w:t>P23</w:t>
      </w:r>
      <w:r>
        <w:t>。不记名股票（bearer shares）的规则是“谁持有，谁即为名义所有人”</w:t>
      </w:r>
      <w:r>
        <w:rPr>
          <w:sz w:val="15"/>
          <w:vertAlign w:val="superscript"/>
        </w:rPr>
        <w:t>P55</w:t>
      </w:r>
      <w:r>
        <w:t>，这给真实控制人的识别制造了天然障碍。同时，案例显示，英属维尔京群岛因税务保密和受益所有人登记松懈被列为高风险司法管辖区</w:t>
      </w:r>
      <w:r>
        <w:rPr>
          <w:sz w:val="15"/>
          <w:vertAlign w:val="superscript"/>
        </w:rPr>
        <w:t>P129</w:t>
      </w:r>
      <w:r>
        <w:t>，也就是说，受益所有权披露要求越宽松，越容易吸引犯罪分子将公司设在那里。题干问公司对犯罪组织的吸引力受哪些因素影响，“无记名股票的可发行性”直接对应所有权隐藏工具，“该司法管辖区关于披露受益所有权的规定”直接对应识别真实所有人的难度；两者共同决定了公司外壳对非法活动的便利程度，因此 B、C 为正确项。</w:t>
      </w:r>
    </w:p>
    <w:p>
      <w:pPr>
        <w:spacing w:before="120" w:after="40"/>
      </w:pPr>
      <w:r>
        <w:rPr>
          <w:b/>
          <w:sz w:val="21"/>
          <w:shd w:fill="D6E4F0" w:val="clear"/>
        </w:rPr>
        <w:t>教材原句</w:t>
      </w:r>
    </w:p>
    <w:p>
      <w:pPr>
        <w:spacing w:line="360" w:lineRule="auto" w:after="40"/>
        <w:ind w:firstLine="420"/>
      </w:pPr>
      <w:r>
        <w:t>"Ownership-related evasion involves obscuring the ownership of an asset by a designated person. This can be achieved by using complex corporate structures, proxies, and bearer shares and by diluting ownership."</w:t>
      </w:r>
    </w:p>
    <w:p>
      <w:pPr>
        <w:spacing w:before="120" w:after="40"/>
      </w:pPr>
      <w:r>
        <w:rPr>
          <w:b/>
          <w:sz w:val="21"/>
          <w:shd w:fill="D6E4F0" w:val="clear"/>
        </w:rPr>
        <w:t>A项错误</w:t>
      </w:r>
    </w:p>
    <w:p>
      <w:pPr>
        <w:spacing w:line="360" w:lineRule="auto" w:after="40"/>
        <w:ind w:firstLine="420"/>
      </w:pPr>
      <w:r>
        <w:t>教材虽提到犯罪分子可能偏好监管宽松或税收友好的司法管辖区</w:t>
      </w:r>
      <w:r>
        <w:rPr>
          <w:sz w:val="15"/>
          <w:vertAlign w:val="superscript"/>
        </w:rPr>
        <w:t>P76</w:t>
      </w:r>
      <w:r>
        <w:t>，但并未将“年度费用金额”单独列为影响吸引力的因素；费用在私人银行场景下通常基于管理资产规模（AUM）</w:t>
      </w:r>
      <w:r>
        <w:rPr>
          <w:sz w:val="15"/>
          <w:vertAlign w:val="superscript"/>
        </w:rPr>
        <w:t>P71</w:t>
      </w:r>
      <w:r>
        <w:t>，与所有权隐藏无直接关联。相比之下，题干更直接支持“无记名股票”和“受益所有权披露规定”这类与隐蔽真实控制人直接挂钩的特征。</w:t>
      </w:r>
    </w:p>
    <w:p>
      <w:pPr>
        <w:spacing w:before="120" w:after="40"/>
      </w:pPr>
      <w:r>
        <w:rPr>
          <w:b/>
          <w:sz w:val="21"/>
          <w:shd w:fill="D6E4F0" w:val="clear"/>
        </w:rPr>
        <w:t>D项错误</w:t>
      </w:r>
    </w:p>
    <w:p>
      <w:pPr>
        <w:spacing w:line="360" w:lineRule="auto" w:after="40"/>
        <w:ind w:firstLine="420"/>
      </w:pPr>
      <w:r>
        <w:t>教材在评估客户风险时提到“对高风险司法管辖区的敞口增加”</w:t>
      </w:r>
      <w:r>
        <w:rPr>
          <w:sz w:val="15"/>
          <w:vertAlign w:val="superscript"/>
        </w:rPr>
        <w:t>P283</w:t>
      </w:r>
      <w:r>
        <w:t>，但讨论的是客户业务扩展至高风险地区所触发的审查，而非犯罪分子选择公司注册地时对“旅行便利性”的考量。物理可达性不是教材界定公司工具被滥用风险的要素，与题干问的公司吸引力关联不足。</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