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w:t>
      </w:r>
    </w:p>
    <w:p>
      <w:pPr>
        <w:spacing w:line="360" w:lineRule="auto" w:after="160"/>
      </w:pPr>
      <w:r>
        <w:t>一、单项选择题</w:t>
      </w:r>
    </w:p>
    <w:p>
      <w:pPr>
        <w:spacing w:line="360" w:lineRule="auto" w:after="40"/>
      </w:pPr>
      <w:r>
        <w:t>1. 根据金融行动特别工作组(FATF)的规定，与环境犯罪所得洗钱相关的潜在风险指标包括：(选择两项。) ( )</w:t>
      </w:r>
    </w:p>
    <w:p>
      <w:pPr>
        <w:spacing w:line="360" w:lineRule="auto" w:after="20"/>
        <w:ind w:firstLine="283"/>
      </w:pPr>
      <w:r>
        <w:t>A. 在高风险司法管辖区注册的废物管理行业公司，其支付款项或贸易发票所涉及的废物类型与其获授权处理的废物类型一致</w:t>
      </w:r>
    </w:p>
    <w:p>
      <w:pPr>
        <w:spacing w:line="360" w:lineRule="auto" w:after="20"/>
        <w:ind w:firstLine="283"/>
      </w:pPr>
      <w:r>
        <w:t>B. 伐木、木材加工或废料贸易行业的公司频繁向与合法业务活动或经营无关的个人或受益人支付款项</w:t>
      </w:r>
    </w:p>
    <w:p>
      <w:pPr>
        <w:spacing w:line="360" w:lineRule="auto" w:after="20"/>
        <w:ind w:firstLine="283"/>
      </w:pPr>
      <w:r>
        <w:t>C. 无法解释的财富以及涉及高级官员或政治公众人物(或其家庭成员)的现金转移，且这些官员或公众人物的职责与自然资源的管理或保护相关</w:t>
      </w:r>
    </w:p>
    <w:p>
      <w:pPr>
        <w:spacing w:line="360" w:lineRule="auto" w:after="20"/>
        <w:ind w:firstLine="283"/>
      </w:pPr>
      <w:r>
        <w:t>D. 从现金密集型企业向已知为金矿开采、非法采伐和非法土地开垦来源地区的受益人进行小额现金转移</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识别环境犯罪所得洗钱的潜在风险指标</w:t>
      </w:r>
    </w:p>
    <w:p>
      <w:pPr>
        <w:spacing w:before="120" w:after="40"/>
      </w:pPr>
      <w:r>
        <w:rPr>
          <w:b/>
          <w:sz w:val="21"/>
          <w:shd w:fill="D6E4F0" w:val="clear"/>
        </w:rPr>
        <w:t>核心解析</w:t>
      </w:r>
    </w:p>
    <w:p>
      <w:pPr>
        <w:spacing w:line="360" w:lineRule="auto" w:after="40"/>
        <w:ind w:firstLine="420"/>
      </w:pPr>
      <w:r>
        <w:t>FATF指出，环境犯罪为犯罪组织提供同时赚取和清洗资金的机会</w:t>
      </w:r>
      <w:r>
        <w:rPr>
          <w:sz w:val="15"/>
          <w:vertAlign w:val="superscript"/>
        </w:rPr>
        <w:t>P33</w:t>
      </w:r>
      <w:r>
        <w:t>。犯罪组织可能部分拥有伐木、废料贸易等幌子公司，通过虚增合同和共谋账户持有人进行离析</w:t>
      </w:r>
      <w:r>
        <w:rPr>
          <w:sz w:val="15"/>
          <w:vertAlign w:val="superscript"/>
        </w:rPr>
        <w:t>P33</w:t>
      </w:r>
      <w:r>
        <w:t>，向与业务无关的个人频繁付款正是转移非法资金的典型红旗。此外，环境犯罪常伴随贿赂与腐败，特别是涉及负责自然资源管理的高级官员或PEP，无法解释的财富与现金转移构成洗钱风险指标</w:t>
      </w:r>
      <w:r>
        <w:rPr>
          <w:sz w:val="15"/>
          <w:vertAlign w:val="superscript"/>
        </w:rPr>
        <w:t>P217</w:t>
      </w:r>
      <w:r>
        <w:t>。因此B和C正确。A中废物类型与授权一致属正常业务，不产生风险信号。D中现金密集型企业向非法开采地区小额转账，虽可辅助洗钱，但不具备环境犯罪洗钱中常见的虚增合同和贿赂特征，匹配度低于B和C。</w:t>
      </w:r>
    </w:p>
    <w:p>
      <w:pPr>
        <w:spacing w:before="120" w:after="40"/>
      </w:pPr>
      <w:r>
        <w:rPr>
          <w:b/>
          <w:sz w:val="21"/>
          <w:shd w:fill="D6E4F0" w:val="clear"/>
        </w:rPr>
        <w:t>教材原句</w:t>
      </w:r>
    </w:p>
    <w:p>
      <w:pPr>
        <w:spacing w:line="360" w:lineRule="auto" w:after="40"/>
        <w:ind w:firstLine="420"/>
      </w:pPr>
      <w:r>
        <w:t>"TCOs and other criminal organizations are constantly looking for ways to supplement their income, and environmental crimes offer the opportunity to both earn and launder funds simultaneously."</w:t>
      </w:r>
    </w:p>
    <w:p>
      <w:pPr>
        <w:spacing w:before="120" w:after="40"/>
      </w:pPr>
      <w:r>
        <w:rPr>
          <w:b/>
          <w:sz w:val="21"/>
          <w:shd w:fill="D6E4F0" w:val="clear"/>
        </w:rPr>
        <w:t>A项错误</w:t>
      </w:r>
    </w:p>
    <w:p>
      <w:pPr>
        <w:spacing w:line="360" w:lineRule="auto" w:after="40"/>
        <w:ind w:firstLine="420"/>
      </w:pPr>
      <w:r>
        <w:t>废物类型与授权一致是正常经营表现，并非潜在洗钱风险指标。环境犯罪洗钱手法的核心是偏离授权范围的虚增合同</w:t>
      </w:r>
      <w:r>
        <w:rPr>
          <w:sz w:val="15"/>
          <w:vertAlign w:val="superscript"/>
        </w:rPr>
        <w:t>P33</w:t>
      </w:r>
      <w:r>
        <w:t>，A描述的情形恰与之相反，故该选项不符合FATF定义的风险指标。</w:t>
      </w:r>
    </w:p>
    <w:p>
      <w:pPr>
        <w:spacing w:before="120" w:after="40"/>
      </w:pPr>
      <w:r>
        <w:rPr>
          <w:b/>
          <w:sz w:val="21"/>
          <w:shd w:fill="D6E4F0" w:val="clear"/>
        </w:rPr>
        <w:t>D项错误</w:t>
      </w:r>
    </w:p>
    <w:p>
      <w:pPr>
        <w:spacing w:line="360" w:lineRule="auto" w:after="40"/>
        <w:ind w:firstLine="420"/>
      </w:pPr>
      <w:r>
        <w:t>现金密集型企业向非法采矿地区的小额转账可发生在多种犯罪中，而环境犯罪洗钱风险更直接体现在向无关方的付款和官员腐败上。教材P33强调虚增合同与离析，P217强调贿赂，B和C与这些特征匹配度更高，D的小额模式不如其直接。</w:t>
      </w:r>
    </w:p>
    <w:p>
      <w:pPr>
        <w:spacing w:before="120" w:after="40"/>
      </w:pPr>
      <w:r>
        <w:rPr>
          <w:b/>
          <w:sz w:val="21"/>
          <w:shd w:fill="D6E4F0" w:val="clear"/>
        </w:rPr>
        <w:t>易错提醒</w:t>
      </w:r>
    </w:p>
    <w:p>
      <w:pPr>
        <w:spacing w:line="360" w:lineRule="auto" w:after="40"/>
        <w:ind w:firstLine="420"/>
      </w:pPr>
      <w:r>
        <w:t>环境犯罪的洗钱风险常与虚增合同、向无关方付款及官员腐败相关，而非所有涉及资源行业的可疑交易都属此类。小额现金转移可能是一般洗钱手法，不属于环境犯罪特有指标。</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