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CH01</w:t>
      </w:r>
    </w:p>
    <w:p>
      <w:pPr>
        <w:spacing w:line="360" w:lineRule="auto" w:after="160"/>
      </w:pPr>
      <w:r>
        <w:t>一、单项选择题</w:t>
      </w:r>
    </w:p>
    <w:p>
      <w:pPr>
        <w:spacing w:line="360" w:lineRule="auto" w:after="40"/>
      </w:pPr>
      <w:r>
        <w:t>1. 哪种支付类型带来的金融犯罪风险最高？ ( )</w:t>
      </w:r>
    </w:p>
    <w:p>
      <w:pPr>
        <w:spacing w:line="360" w:lineRule="auto" w:after="20"/>
        <w:ind w:firstLine="283"/>
      </w:pPr>
      <w:r>
        <w:t>A. 一张用于退还因错误多付的抵押贷款的支票</w:t>
      </w:r>
    </w:p>
    <w:p>
      <w:pPr>
        <w:spacing w:line="360" w:lineRule="auto" w:after="20"/>
        <w:ind w:firstLine="283"/>
      </w:pPr>
      <w:r>
        <w:t>B. 支付给混币平台的款项</w:t>
      </w:r>
    </w:p>
    <w:p>
      <w:pPr>
        <w:spacing w:line="360" w:lineRule="auto" w:after="20"/>
        <w:ind w:firstLine="283"/>
      </w:pPr>
      <w:r>
        <w:t>C. 定期向高息储蓄账户下达的常规定单</w:t>
      </w:r>
    </w:p>
    <w:p>
      <w:pPr>
        <w:spacing w:line="360" w:lineRule="auto" w:after="20"/>
        <w:ind w:firstLine="283"/>
      </w:pPr>
      <w:r>
        <w:t>D. 与朋友分摊晚餐费用后给朋友的付款账单</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识别混币平台支付在洗钱技术中的高风险定位</w:t>
      </w:r>
    </w:p>
    <w:p>
      <w:pPr>
        <w:spacing w:before="120" w:after="40"/>
      </w:pPr>
      <w:r>
        <w:rPr>
          <w:b/>
          <w:sz w:val="21"/>
          <w:shd w:fill="D6E4F0" w:val="clear"/>
        </w:rPr>
        <w:t>核心解析</w:t>
      </w:r>
    </w:p>
    <w:p>
      <w:pPr>
        <w:spacing w:line="360" w:lineRule="auto" w:after="40"/>
        <w:ind w:firstLine="420"/>
      </w:pPr>
      <w:r>
        <w:t>教材在洗钱技术章节将混币服务列为犯罪分子实现匿名化的手段</w:t>
      </w:r>
      <w:r>
        <w:rPr>
          <w:sz w:val="15"/>
          <w:vertAlign w:val="superscript"/>
        </w:rPr>
        <w:t>P17</w:t>
      </w:r>
      <w:r>
        <w:t>。混币平台通过混淆技术混合不同实体的资金，使原始地址难以追溯，犯罪分子和受制裁实体广泛使用混合器清洗非法资金</w:t>
      </w:r>
      <w:r>
        <w:rPr>
          <w:sz w:val="15"/>
          <w:vertAlign w:val="superscript"/>
        </w:rPr>
        <w:t>P115</w:t>
      </w:r>
      <w:r>
        <w:t>。题干给出的四个支付场景中，支付给混币平台是唯一在教材中被直接归类为洗钱技术的支付类型——其设计目的就是割断资金来源与去向的关联，这与洗钱“分层”阶段的核心需求高度吻合。相比之下，其他三项均为日常金融行为，在教材框架下不具同等程度的内在风险属性。由此可推断，支付给混币平台带来的金融犯罪风险最高。</w:t>
      </w:r>
    </w:p>
    <w:p>
      <w:pPr>
        <w:spacing w:before="120" w:after="40"/>
      </w:pPr>
      <w:r>
        <w:rPr>
          <w:b/>
          <w:sz w:val="21"/>
          <w:shd w:fill="D6E4F0" w:val="clear"/>
        </w:rPr>
        <w:t>教材原句</w:t>
      </w:r>
    </w:p>
    <w:p>
      <w:pPr>
        <w:spacing w:line="360" w:lineRule="auto" w:after="40"/>
        <w:ind w:firstLine="420"/>
      </w:pPr>
      <w:r>
        <w:t>"Launderers use mixing services and privacy coins for anonymity."</w:t>
      </w:r>
    </w:p>
    <w:p>
      <w:pPr>
        <w:spacing w:before="120" w:after="40"/>
      </w:pPr>
      <w:r>
        <w:rPr>
          <w:b/>
          <w:sz w:val="21"/>
          <w:shd w:fill="D6E4F0" w:val="clear"/>
        </w:rPr>
        <w:t>A项错误</w:t>
      </w:r>
    </w:p>
    <w:p>
      <w:pPr>
        <w:spacing w:line="360" w:lineRule="auto" w:after="40"/>
        <w:ind w:firstLine="420"/>
      </w:pPr>
      <w:r>
        <w:t>退还错误多付的抵押贷款支票属于常规纠正操作，题干未提供任何表明该交易存在洗钱风险的指标。教材在NatWest案例中虽提及支票与现金的误标问题，但那描述的是监控系统缺陷，而非此类支付本身的风险属性。在教材框架下，题干条件更直接匹配混币支付作为已知洗钱技术的定位。</w:t>
      </w:r>
    </w:p>
    <w:p>
      <w:pPr>
        <w:spacing w:before="120" w:after="40"/>
      </w:pPr>
      <w:r>
        <w:rPr>
          <w:b/>
          <w:sz w:val="21"/>
          <w:shd w:fill="D6E4F0" w:val="clear"/>
        </w:rPr>
        <w:t>C项错误</w:t>
      </w:r>
    </w:p>
    <w:p>
      <w:pPr>
        <w:spacing w:line="360" w:lineRule="auto" w:after="40"/>
        <w:ind w:firstLine="420"/>
      </w:pPr>
      <w:r>
        <w:t>教材在客户风险评估中直接举例说明，有固定工作和薪水的个人开储蓄账户且资金来源可核实时，视为低风险</w:t>
      </w:r>
      <w:r>
        <w:rPr>
          <w:sz w:val="15"/>
          <w:vertAlign w:val="superscript"/>
        </w:rPr>
        <w:t>P270</w:t>
      </w:r>
      <w:r>
        <w:t>。定期向高息储蓄账户的常规定单金额、频率和对手方均稳定可预期，匹配低风险客户画像。相比之下，混币支付被教材纳入洗钱技术专节讨论，其风险关联比储蓄常规定单更直接、更明确。</w:t>
      </w:r>
    </w:p>
    <w:p>
      <w:pPr>
        <w:spacing w:before="120" w:after="40"/>
      </w:pPr>
      <w:r>
        <w:rPr>
          <w:b/>
          <w:sz w:val="21"/>
          <w:shd w:fill="D6E4F0" w:val="clear"/>
        </w:rPr>
        <w:t>D项错误</w:t>
      </w:r>
    </w:p>
    <w:p>
      <w:pPr>
        <w:spacing w:line="360" w:lineRule="auto" w:after="40"/>
        <w:ind w:firstLine="420"/>
      </w:pPr>
      <w:r>
        <w:t>与朋友分摊晚餐费用后的账单付款属于个人间小额转账，题干未提及任何将其与金融犯罪关联的风险要素，教材材料中亦无将此类支付列为高风险的内容。题干更支持将洗钱技术章节定义的混币支付判定为最高风险，而非此类日常消费结算。</w:t>
      </w:r>
    </w:p>
    <w:p>
      <w:pPr>
        <w:spacing w:before="120" w:after="40"/>
      </w:pPr>
      <w:r>
        <w:rPr>
          <w:b/>
          <w:sz w:val="21"/>
          <w:shd w:fill="D6E4F0" w:val="clear"/>
        </w:rPr>
        <w:t>易错提醒</w:t>
      </w:r>
    </w:p>
    <w:p>
      <w:pPr>
        <w:spacing w:line="360" w:lineRule="auto" w:after="40"/>
        <w:ind w:firstLine="420"/>
      </w:pPr>
      <w:r>
        <w:t>学生可能看到“定期”“储蓄”等词而联想到结构化或异常还款模式，但教材在客户风险评估中将个人储蓄账户的定期储蓄明确列为低风险示例</w:t>
      </w:r>
      <w:r>
        <w:rPr>
          <w:sz w:val="15"/>
          <w:vertAlign w:val="superscript"/>
        </w:rPr>
        <w:t>P270</w:t>
      </w:r>
      <w:r>
        <w:t>，同时将混币服务列为洗钱技术</w:t>
      </w:r>
      <w:r>
        <w:rPr>
          <w:sz w:val="15"/>
          <w:vertAlign w:val="superscript"/>
        </w:rPr>
        <w:t>P17</w:t>
      </w:r>
      <w:r>
        <w:t>。本题的判断核心不是交易的频率或金额规律，而是支付渠道本身在教材分类体系中的定位——混币平台被直接关联到犯罪分子匿名化资金的手段，风险层级高于常规储蓄或个人转账。</w:t>
      </w:r>
    </w:p>
    <w:p>
      <w:pPr>
        <w:spacing w:line="360" w:lineRule="auto" w:after="120"/>
      </w:pPr>
      <w:r/>
    </w:p>
    <w:p>
      <w:pPr>
        <w:spacing w:line="360" w:lineRule="auto" w:after="40"/>
      </w:pPr>
      <w:r>
        <w:t>2. 与加密货币相关的可被洗钱者利用的技术包括:(选择两项.) ( )</w:t>
      </w:r>
    </w:p>
    <w:p>
      <w:pPr>
        <w:spacing w:line="360" w:lineRule="auto" w:after="20"/>
        <w:ind w:firstLine="283"/>
      </w:pPr>
      <w:r>
        <w:t>A. 生成式辅助程序。</w:t>
      </w:r>
    </w:p>
    <w:p>
      <w:pPr>
        <w:spacing w:line="360" w:lineRule="auto" w:after="20"/>
        <w:ind w:firstLine="283"/>
      </w:pPr>
      <w:r>
        <w:t>B. 小型语言模型。</w:t>
      </w:r>
    </w:p>
    <w:p>
      <w:pPr>
        <w:spacing w:line="360" w:lineRule="auto" w:after="20"/>
        <w:ind w:firstLine="283"/>
      </w:pPr>
      <w:r>
        <w:t>C. 隐私币。</w:t>
      </w:r>
    </w:p>
    <w:p>
      <w:pPr>
        <w:spacing w:line="360" w:lineRule="auto" w:after="20"/>
        <w:ind w:firstLine="283"/>
      </w:pPr>
      <w:r>
        <w:t>D. 加密货币混合器。</w:t>
      </w:r>
    </w:p>
    <w:p>
      <w:pPr>
        <w:spacing w:line="360" w:lineRule="auto" w:after="40"/>
      </w:pPr>
      <w:r>
        <w:t>答案:C、D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识别加密货币领域被洗钱者利用的匿名化技术</w:t>
      </w:r>
    </w:p>
    <w:p>
      <w:pPr>
        <w:spacing w:before="120" w:after="40"/>
      </w:pPr>
      <w:r>
        <w:rPr>
          <w:b/>
          <w:sz w:val="21"/>
          <w:shd w:fill="D6E4F0" w:val="clear"/>
        </w:rPr>
        <w:t>核心解析</w:t>
      </w:r>
    </w:p>
    <w:p>
      <w:pPr>
        <w:spacing w:line="360" w:lineRule="auto" w:after="40"/>
        <w:ind w:firstLine="420"/>
      </w:pPr>
      <w:r>
        <w:t>教材在“数字资产洗钱”部分明确列出洗钱者利用的两项关键技术：混币服务（mixing services）和隐私币（privacy coins），二者均用于实现匿名</w:t>
      </w:r>
      <w:r>
        <w:rPr>
          <w:sz w:val="15"/>
          <w:vertAlign w:val="superscript"/>
        </w:rPr>
        <w:t>P17</w:t>
      </w:r>
      <w:r>
        <w:t>。加密货币混合器（Crypto-mixers）即混币服务，通过将多个用户的币混合后从新地址返还，使资金追踪极为困难</w:t>
      </w:r>
      <w:r>
        <w:rPr>
          <w:sz w:val="15"/>
          <w:vertAlign w:val="superscript"/>
        </w:rPr>
        <w:t>P114</w:t>
      </w:r>
      <w:r>
        <w:t>。隐私币（Privacy coins）则是设计上就隐藏交易信息的加密货币，与混币服务并列被教材列为洗钱者用于匿名的工具</w:t>
      </w:r>
      <w:r>
        <w:rPr>
          <w:sz w:val="15"/>
          <w:vertAlign w:val="superscript"/>
        </w:rPr>
        <w:t>P17</w:t>
      </w:r>
      <w:r>
        <w:t>。题干直接对应教材这一对概念——洗钱者可利用的加密货币相关技术，隐私币和混合器正是教材在数字资产洗钱场景下并列指出的两种匿名化手段。</w:t>
      </w:r>
    </w:p>
    <w:p>
      <w:pPr>
        <w:spacing w:before="120" w:after="40"/>
      </w:pPr>
      <w:r>
        <w:rPr>
          <w:b/>
          <w:sz w:val="21"/>
          <w:shd w:fill="D6E4F0" w:val="clear"/>
        </w:rPr>
        <w:t>教材原句</w:t>
      </w:r>
    </w:p>
    <w:p>
      <w:pPr>
        <w:spacing w:line="360" w:lineRule="auto" w:after="40"/>
        <w:ind w:firstLine="420"/>
      </w:pPr>
      <w:r>
        <w:t>"Launderers use mixing services and privacy coins for anonymity."</w:t>
      </w:r>
    </w:p>
    <w:p>
      <w:pPr>
        <w:spacing w:before="120" w:after="40"/>
      </w:pPr>
      <w:r>
        <w:rPr>
          <w:b/>
          <w:sz w:val="21"/>
          <w:shd w:fill="D6E4F0" w:val="clear"/>
        </w:rPr>
        <w:t>A项错误</w:t>
      </w:r>
    </w:p>
    <w:p>
      <w:pPr>
        <w:spacing w:line="360" w:lineRule="auto" w:after="40"/>
        <w:ind w:firstLine="420"/>
      </w:pPr>
      <w:r>
        <w:t>题干问的是“可被洗钱者利用”的技术，而非金融机构用于反洗钱合规的辅助工具。教材将生成式AI描述为帮助调查员撰写SAR叙述、增强风险评估和自动报告生成的合规技术</w:t>
      </w:r>
      <w:r>
        <w:rPr>
          <w:sz w:val="15"/>
          <w:vertAlign w:val="superscript"/>
        </w:rPr>
        <w:t>P385、P397</w:t>
      </w:r>
      <w:r>
        <w:t>，其场景是防御端而非洗钱端。相比之下，C和D直接出现在教材的洗钱手法章节中，匹配度更高。</w:t>
      </w:r>
    </w:p>
    <w:p>
      <w:pPr>
        <w:spacing w:before="120" w:after="40"/>
      </w:pPr>
      <w:r>
        <w:rPr>
          <w:b/>
          <w:sz w:val="21"/>
          <w:shd w:fill="D6E4F0" w:val="clear"/>
        </w:rPr>
        <w:t>B项错误</w:t>
      </w:r>
    </w:p>
    <w:p>
      <w:pPr>
        <w:spacing w:line="360" w:lineRule="auto" w:after="40"/>
        <w:ind w:firstLine="420"/>
      </w:pPr>
      <w:r>
        <w:t>小型语言模型在给定材料中未作为洗钱技术出现。材料中出现的语言模型相关描述均在合规应用场景下（如P385提及大语言模型用于增强风险评估和实时合规监控），题干未提供任何将其与洗钱行为关联的证据要素。正确项C和D则有直接的教材原文支撑，属于洗钱手法章节明确列出的匿名化技术。</w:t>
      </w:r>
    </w:p>
    <w:p>
      <w:pPr>
        <w:spacing w:before="120" w:after="40"/>
      </w:pPr>
      <w:r>
        <w:rPr>
          <w:b/>
          <w:sz w:val="21"/>
          <w:shd w:fill="D6E4F0" w:val="clear"/>
        </w:rPr>
        <w:t>易错提醒</w:t>
      </w:r>
    </w:p>
    <w:p>
      <w:pPr>
        <w:spacing w:line="360" w:lineRule="auto" w:after="40"/>
        <w:ind w:firstLine="420"/>
      </w:pPr>
      <w:r>
        <w:t>混淆隐私币与混合器的机制：隐私币是在协议层面设计为交易信息不可追踪的加密货币（内置匿名性）；混合器则是通过将多个用户的资金混合后返还给原用户的新地址来切断资金轨迹的服务或协议（操作层面实现匿名）。教材将二者并列但机制不同</w:t>
      </w:r>
      <w:r>
        <w:rPr>
          <w:sz w:val="15"/>
          <w:vertAlign w:val="superscript"/>
        </w:rPr>
        <w:t>P17、P114</w:t>
      </w:r>
      <w:r>
        <w:t>。</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