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w:t>
      </w:r>
    </w:p>
    <w:p>
      <w:pPr>
        <w:spacing w:line="360" w:lineRule="auto" w:after="160"/>
      </w:pPr>
      <w:r>
        <w:t>一、单项选择题</w:t>
      </w:r>
    </w:p>
    <w:p>
      <w:pPr>
        <w:spacing w:line="360" w:lineRule="auto" w:after="40"/>
      </w:pPr>
      <w:r>
        <w:t>1. [洗钱和恐怖融资的风险及方法]新成立的一家小型数字银行最近任命了一位高级反洗钱报告官(MLRO),该行集团首席合规官已指示其建立一套有效的反洗钱交易监控系统,以识别异常和可疑交易.在数字银行选择和实施反洗钱交易监控系统时,有哪些重要的考虑因素？(选择两项.) ( )</w:t>
      </w:r>
    </w:p>
    <w:p>
      <w:pPr>
        <w:spacing w:line="360" w:lineRule="auto" w:after="20"/>
        <w:ind w:firstLine="283"/>
      </w:pPr>
      <w:r>
        <w:t>A. 供应商是否已记录了适当的设计系统和数据集成模式的内部控制措施</w:t>
      </w:r>
    </w:p>
    <w:p>
      <w:pPr>
        <w:spacing w:line="360" w:lineRule="auto" w:after="20"/>
        <w:ind w:firstLine="283"/>
      </w:pPr>
      <w:r>
        <w:t>B. 系统生成的警报的审查、调查和报告详情的权限及用户访问设置是否与其他银行所采用的设置相匹配</w:t>
      </w:r>
    </w:p>
    <w:p>
      <w:pPr>
        <w:spacing w:line="360" w:lineRule="auto" w:after="20"/>
        <w:ind w:firstLine="283"/>
      </w:pPr>
      <w:r>
        <w:t>C. 监测系统是否与银行的规模、业务、复杂程度和风险相适应</w:t>
      </w:r>
    </w:p>
    <w:p>
      <w:pPr>
        <w:spacing w:line="360" w:lineRule="auto" w:after="20"/>
        <w:ind w:firstLine="283"/>
      </w:pPr>
      <w:r>
        <w:t>D. 监测系统是否能够进行配置,以使银行能够对交易活动执行趋势分析,并识别出异常的业务关系和交易</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以风险为本原则选择与银行风险状况相称的交易监控系统</w:t>
      </w:r>
    </w:p>
    <w:p>
      <w:pPr>
        <w:spacing w:before="120" w:after="40"/>
      </w:pPr>
      <w:r>
        <w:rPr>
          <w:b/>
          <w:sz w:val="21"/>
          <w:shd w:fill="D6E4F0" w:val="clear"/>
        </w:rPr>
        <w:t>核心解析</w:t>
      </w:r>
    </w:p>
    <w:p>
      <w:pPr>
        <w:spacing w:line="360" w:lineRule="auto" w:after="40"/>
        <w:ind w:firstLine="420"/>
      </w:pPr>
      <w:r>
        <w:t>风险为本的方法是反洗钱合规的核心原则。在构建交易监控体系时，机构需要评估现有系统与控制是否与其面临的特定洗钱和恐怖融资风险“相称”，即是否与其规模、业务性质、复杂程度和风险相匹配</w:t>
      </w:r>
      <w:r>
        <w:rPr>
          <w:sz w:val="15"/>
          <w:vertAlign w:val="superscript"/>
        </w:rPr>
        <w:t>P51</w:t>
      </w:r>
      <w:r>
        <w:t>。同时，机构必须进行持续的交易监控以识别并报告可疑交易</w:t>
      </w:r>
      <w:r>
        <w:rPr>
          <w:sz w:val="15"/>
          <w:vertAlign w:val="superscript"/>
        </w:rPr>
        <w:t>P245</w:t>
      </w:r>
      <w:r>
        <w:t>，且现代反洗钱系统应整合多源信息、持续监控客户活动并具备分析交易模式、识别异常业务关系和交易的能力</w:t>
      </w:r>
      <w:r>
        <w:rPr>
          <w:sz w:val="15"/>
          <w:vertAlign w:val="superscript"/>
        </w:rPr>
        <w:t>P455</w:t>
      </w:r>
      <w:r>
        <w:t>。题干明确指出这是一家“新成立的小型数字银行”，其规模小且以数字形式运营，决定了它在选择交易监控系统时，首要的考量应当是系统能否与自身的规模、业务和风险相称（选项C），以及系统是否具备通过配置对交易活动进行趋势分析、识别异常业务关系和交易的能力（选项D）。这两项分别从风险匹配度与技术功能要求两个层面，构成了一个风险为本的交易监控系统选择和实施过程中最根本的考量。</w:t>
      </w:r>
    </w:p>
    <w:p>
      <w:pPr>
        <w:spacing w:before="120" w:after="40"/>
      </w:pPr>
      <w:r>
        <w:rPr>
          <w:b/>
          <w:sz w:val="21"/>
          <w:shd w:fill="D6E4F0" w:val="clear"/>
        </w:rPr>
        <w:t>教材原句</w:t>
      </w:r>
    </w:p>
    <w:p>
      <w:pPr>
        <w:spacing w:line="360" w:lineRule="auto" w:after="40"/>
        <w:ind w:firstLine="420"/>
      </w:pPr>
      <w:r>
        <w:t>"She will then need to assess the systems and controls that are in place to determine if they are commensurate with the specific risks of money laundering and terrorist financing that the bank faces."</w:t>
      </w:r>
    </w:p>
    <w:p>
      <w:pPr>
        <w:spacing w:before="120" w:after="40"/>
      </w:pPr>
      <w:r>
        <w:rPr>
          <w:b/>
          <w:sz w:val="21"/>
          <w:shd w:fill="D6E4F0" w:val="clear"/>
        </w:rPr>
        <w:t>A项错误</w:t>
      </w:r>
    </w:p>
    <w:p>
      <w:pPr>
        <w:spacing w:line="360" w:lineRule="auto" w:after="40"/>
        <w:ind w:firstLine="420"/>
      </w:pPr>
      <w:r>
        <w:t>选项A关注供应商是否为其系统和数据集成模式记录了适当的内部控制措施。这属于供应商自身的流程完备性问题，而题干问的是银行在“选择和实施”系统时应考虑的因素。相比之下，教材更强调银行需评估系统是否与银行自身的风险相称</w:t>
      </w:r>
      <w:r>
        <w:rPr>
          <w:sz w:val="15"/>
          <w:vertAlign w:val="superscript"/>
        </w:rPr>
        <w:t>P51</w:t>
      </w:r>
      <w:r>
        <w:t>，而非供应商的内部文档状况。题干并未提及评估供应商内部控制这一要素，其与题干核心任务的匹配度不如C和D直接。</w:t>
      </w:r>
    </w:p>
    <w:p>
      <w:pPr>
        <w:spacing w:before="120" w:after="40"/>
      </w:pPr>
      <w:r>
        <w:rPr>
          <w:b/>
          <w:sz w:val="21"/>
          <w:shd w:fill="D6E4F0" w:val="clear"/>
        </w:rPr>
        <w:t>B项错误</w:t>
      </w:r>
    </w:p>
    <w:p>
      <w:pPr>
        <w:spacing w:line="360" w:lineRule="auto" w:after="40"/>
        <w:ind w:firstLine="420"/>
      </w:pPr>
      <w:r>
        <w:t>选项B要求系统权限和用户访问设置与其他银行相匹配。这引入了“同业对齐”这一标杆，但教材中风险为本的核心逻辑是要求控制措施与“自身”风险相称</w:t>
      </w:r>
      <w:r>
        <w:rPr>
          <w:sz w:val="15"/>
          <w:vertAlign w:val="superscript"/>
        </w:rPr>
        <w:t>P51</w:t>
      </w:r>
      <w:r>
        <w:t>，而非与外部同业一致。不同银行的规模、业务和风险画像各异，强行匹配其他银行的设置可能与自身风险状况错配，因此选项B不如直接面向自身风险匹配度的选项C更吻合教材框架。</w:t>
      </w:r>
    </w:p>
    <w:p>
      <w:pPr>
        <w:spacing w:before="120" w:after="40"/>
      </w:pPr>
      <w:r>
        <w:rPr>
          <w:b/>
          <w:sz w:val="21"/>
          <w:shd w:fill="D6E4F0" w:val="clear"/>
        </w:rPr>
        <w:t>易错提醒</w:t>
      </w:r>
    </w:p>
    <w:p>
      <w:pPr>
        <w:spacing w:line="360" w:lineRule="auto" w:after="40"/>
        <w:ind w:firstLine="420"/>
      </w:pPr>
      <w:r>
        <w:t>区分“供应商的内部控制”与“银行自身系统与风险的匹配度”。教材要求评估现有系统与控制是否与本机构的风险“相称”（commensurate）</w:t>
      </w:r>
      <w:r>
        <w:rPr>
          <w:sz w:val="15"/>
          <w:vertAlign w:val="superscript"/>
        </w:rPr>
        <w:t>P51</w:t>
      </w:r>
      <w:r>
        <w:t>，关注的是产出效果。评估供应商的内部设计文档（A）最多只是实现这一目标过程中的一个操作细节，两者不在同一个决策层次，前者（C）是最终目标，后者（A）是可能的手段之一。</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