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CH03</w:t>
      </w:r>
    </w:p>
    <w:p>
      <w:pPr>
        <w:spacing w:line="360" w:lineRule="auto" w:after="160"/>
      </w:pPr>
      <w:r>
        <w:t>一、单项选择题</w:t>
      </w:r>
    </w:p>
    <w:p>
      <w:pPr>
        <w:spacing w:line="360" w:lineRule="auto" w:after="40"/>
      </w:pPr>
      <w:r>
        <w:t>1. 一家保险公司收到一位新非居民客户提交的高额人寿保险申请.赔付指示与客户无明显关联的另一司法管辖区的一个离岸信托相关联.客户坚持通过多次交易支付保费,以"避免银行手续费".据报道,该客户失业且资产极少,这与保单价值不符.保险公司最应关注哪种金融犯罪风险？ ( )</w:t>
      </w:r>
    </w:p>
    <w:p>
      <w:pPr>
        <w:spacing w:line="360" w:lineRule="auto" w:after="20"/>
        <w:ind w:firstLine="283"/>
      </w:pPr>
      <w:r>
        <w:t>A. 违反制裁</w:t>
      </w:r>
    </w:p>
    <w:p>
      <w:pPr>
        <w:spacing w:line="360" w:lineRule="auto" w:after="20"/>
        <w:ind w:firstLine="283"/>
      </w:pPr>
      <w:r>
        <w:t>B. 洗钱</w:t>
      </w:r>
    </w:p>
    <w:p>
      <w:pPr>
        <w:spacing w:line="360" w:lineRule="auto" w:after="20"/>
        <w:ind w:firstLine="283"/>
      </w:pPr>
      <w:r>
        <w:t>C. 诈骗</w:t>
      </w:r>
    </w:p>
    <w:p>
      <w:pPr>
        <w:spacing w:line="360" w:lineRule="auto" w:after="20"/>
        <w:ind w:firstLine="283"/>
      </w:pPr>
      <w:r>
        <w:t>D. 市场滥用</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识别高额人寿保险场景下的洗钱红旗信号</w:t>
      </w:r>
    </w:p>
    <w:p>
      <w:pPr>
        <w:spacing w:before="120" w:after="40"/>
      </w:pPr>
      <w:r>
        <w:rPr>
          <w:b/>
          <w:sz w:val="21"/>
          <w:shd w:fill="D6E4F0" w:val="clear"/>
        </w:rPr>
        <w:t>核心解析</w:t>
      </w:r>
    </w:p>
    <w:p>
      <w:pPr>
        <w:spacing w:line="360" w:lineRule="auto" w:after="40"/>
        <w:ind w:firstLine="420"/>
      </w:pPr>
      <w:r>
        <w:t>高额人寿保险属于高风险产品，可被滥用以掩盖资金来源</w:t>
      </w:r>
      <w:r>
        <w:rPr>
          <w:sz w:val="15"/>
          <w:vertAlign w:val="superscript"/>
        </w:rPr>
        <w:t>P101</w:t>
      </w:r>
      <w:r>
        <w:t>。犯罪分子会通过大额不规则缴费、提前退保或无关第三方代缴保费来利用保险产品洗钱</w:t>
      </w:r>
      <w:r>
        <w:rPr>
          <w:sz w:val="15"/>
          <w:vertAlign w:val="superscript"/>
        </w:rPr>
        <w:t>P101</w:t>
      </w:r>
      <w:r>
        <w:t>。红旗信号包括冷静期后退保、第三方超额缴费、保单生效后立即理赔和早期现金退保</w:t>
      </w:r>
      <w:r>
        <w:rPr>
          <w:sz w:val="15"/>
          <w:vertAlign w:val="superscript"/>
        </w:rPr>
        <w:t>P101</w:t>
      </w:r>
      <w:r>
        <w:t>。题干中，客户失业且资产极少，却申请高额人寿保单，保费支付方式为多次交易（规避银行手续费），赔付指示通过客户无明显关联的离岸信托，这些特征与洗钱的红旗信号高度吻合：财务能力与保单价值矛盾，暗示资金来源可疑；多次交易缴费类似不规则支付；离岸信托被用于隐藏受益人身份，为非法资金创造合法外表。因此，保险公司最应关注洗钱风险。</w:t>
      </w:r>
    </w:p>
    <w:p>
      <w:pPr>
        <w:spacing w:before="120" w:after="40"/>
      </w:pPr>
      <w:r>
        <w:rPr>
          <w:b/>
          <w:sz w:val="21"/>
          <w:shd w:fill="D6E4F0" w:val="clear"/>
        </w:rPr>
        <w:t>教材原句</w:t>
      </w:r>
    </w:p>
    <w:p>
      <w:pPr>
        <w:spacing w:line="360" w:lineRule="auto" w:after="40"/>
        <w:ind w:firstLine="420"/>
      </w:pPr>
      <w:r>
        <w:t>"Certain products can be high-risk, such as high-value life insurance and investment-linked policies, and can present AML concerns."</w:t>
      </w:r>
    </w:p>
    <w:p>
      <w:pPr>
        <w:spacing w:before="120" w:after="40"/>
      </w:pPr>
      <w:r>
        <w:rPr>
          <w:b/>
          <w:sz w:val="21"/>
          <w:shd w:fill="D6E4F0" w:val="clear"/>
        </w:rPr>
        <w:t>A项错误</w:t>
      </w:r>
    </w:p>
    <w:p>
      <w:pPr>
        <w:spacing w:line="360" w:lineRule="auto" w:after="40"/>
        <w:ind w:firstLine="420"/>
      </w:pPr>
      <w:r>
        <w:t>违反制裁指规避对特定个人或实体的金融限制</w:t>
      </w:r>
      <w:r>
        <w:rPr>
          <w:sz w:val="15"/>
          <w:vertAlign w:val="superscript"/>
        </w:rPr>
        <w:t>P23</w:t>
      </w:r>
      <w:r>
        <w:t>，题干中未出现被制裁对象、禁止交易或高风险司法管辖区等制裁要素，仅凭离岸信托和多次支付保费不足以直接指向制裁规避，相比之下洗钱风险更直接匹配题干条件。</w:t>
      </w:r>
    </w:p>
    <w:p>
      <w:pPr>
        <w:spacing w:before="120" w:after="40"/>
      </w:pPr>
      <w:r>
        <w:rPr>
          <w:b/>
          <w:sz w:val="21"/>
          <w:shd w:fill="D6E4F0" w:val="clear"/>
        </w:rPr>
        <w:t>C项错误</w:t>
      </w:r>
    </w:p>
    <w:p>
      <w:pPr>
        <w:spacing w:line="360" w:lineRule="auto" w:after="40"/>
        <w:ind w:firstLine="420"/>
      </w:pPr>
      <w:r>
        <w:t>欺诈是故意欺骗以获取不正当利益</w:t>
      </w:r>
      <w:r>
        <w:rPr>
          <w:sz w:val="15"/>
          <w:vertAlign w:val="superscript"/>
        </w:rPr>
        <w:t>P29</w:t>
      </w:r>
      <w:r>
        <w:t>，客户谎称失业或隐瞒资产可能涉及欺诈，但此处更关键的是将可疑资金通过保单转化为合法资产，离岸信托和多次缴费更吻合洗钱中掩盖资金来源的行为，故洗钱比欺诈更契合保险机构反洗钱的核心关注点。</w:t>
      </w:r>
    </w:p>
    <w:p>
      <w:pPr>
        <w:spacing w:before="120" w:after="40"/>
      </w:pPr>
      <w:r>
        <w:rPr>
          <w:b/>
          <w:sz w:val="21"/>
          <w:shd w:fill="D6E4F0" w:val="clear"/>
        </w:rPr>
        <w:t>D项错误</w:t>
      </w:r>
    </w:p>
    <w:p>
      <w:pPr>
        <w:spacing w:line="360" w:lineRule="auto" w:after="40"/>
        <w:ind w:firstLine="420"/>
      </w:pPr>
      <w:r>
        <w:t>市场滥用指内幕交易或市场操纵</w:t>
      </w:r>
      <w:r>
        <w:rPr>
          <w:sz w:val="15"/>
          <w:vertAlign w:val="superscript"/>
        </w:rPr>
        <w:t>P193</w:t>
      </w:r>
      <w:r>
        <w:t>，通常发生在证券或交易市场，题干中无任何证券交易、市场订单或金融工具操纵的要素，保险场景下不存在该风险，因此洗钱是比市场滥用更相关的金融犯罪类型。</w:t>
      </w:r>
    </w:p>
    <w:p>
      <w:pPr>
        <w:spacing w:before="120" w:after="40"/>
      </w:pPr>
      <w:r>
        <w:rPr>
          <w:b/>
          <w:sz w:val="21"/>
          <w:shd w:fill="D6E4F0" w:val="clear"/>
        </w:rPr>
        <w:t>易错提醒</w:t>
      </w:r>
    </w:p>
    <w:p>
      <w:pPr>
        <w:spacing w:line="360" w:lineRule="auto" w:after="40"/>
        <w:ind w:firstLine="420"/>
      </w:pPr>
      <w:r>
        <w:t>欺诈（Fraud）是故意欺骗以获得非法利益</w:t>
      </w:r>
      <w:r>
        <w:rPr>
          <w:sz w:val="15"/>
          <w:vertAlign w:val="superscript"/>
        </w:rPr>
        <w:t>P29</w:t>
      </w:r>
      <w:r>
        <w:t>，常作为洗钱的上游犯罪；但题干中客户通过离岸信托和多次缴费隐藏资金流向，重点在于掩盖非法资金来源，这正是洗钱的典型特征，保险机构在反洗钱框架下应优先识别洗钱风险而非欺诈本身。</w:t>
      </w:r>
    </w:p>
    <w:p>
      <w:pPr>
        <w:spacing w:line="360" w:lineRule="auto" w:after="120"/>
      </w:pPr>
      <w:r/>
    </w:p>
    <w:p>
      <w:pPr>
        <w:spacing w:line="360" w:lineRule="auto" w:after="40"/>
      </w:pPr>
      <w:r>
        <w:t>2. 哪种保险产品被认为洗钱风险最低？ ( )</w:t>
      </w:r>
    </w:p>
    <w:p>
      <w:pPr>
        <w:spacing w:line="360" w:lineRule="auto" w:after="20"/>
        <w:ind w:firstLine="283"/>
      </w:pPr>
      <w:r>
        <w:t>A. 年金合同</w:t>
      </w:r>
    </w:p>
    <w:p>
      <w:pPr>
        <w:spacing w:line="360" w:lineRule="auto" w:after="20"/>
        <w:ind w:firstLine="283"/>
      </w:pPr>
      <w:r>
        <w:t>B. 永久人寿保险单</w:t>
      </w:r>
    </w:p>
    <w:p>
      <w:pPr>
        <w:spacing w:line="360" w:lineRule="auto" w:after="20"/>
        <w:ind w:firstLine="283"/>
      </w:pPr>
      <w:r>
        <w:t>C. 团体保险产品</w:t>
      </w:r>
    </w:p>
    <w:p>
      <w:pPr>
        <w:spacing w:line="360" w:lineRule="auto" w:after="20"/>
        <w:ind w:firstLine="283"/>
      </w:pPr>
      <w:r>
        <w:t>D. 现金担保产品</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根据产品现金价值与投保人控制度判断保险洗钱风险高低</w:t>
      </w:r>
    </w:p>
    <w:p>
      <w:pPr>
        <w:spacing w:before="120" w:after="40"/>
      </w:pPr>
      <w:r>
        <w:rPr>
          <w:b/>
          <w:sz w:val="21"/>
          <w:shd w:fill="D6E4F0" w:val="clear"/>
        </w:rPr>
        <w:t>核心解析</w:t>
      </w:r>
    </w:p>
    <w:p>
      <w:pPr>
        <w:spacing w:line="360" w:lineRule="auto" w:after="40"/>
        <w:ind w:firstLine="420"/>
      </w:pPr>
      <w:r>
        <w:t>教材指出，具有高现金价值或灵活缴费选项的保险产品可被用于掩盖资金来源，洗钱风险较高</w:t>
      </w:r>
      <w:r>
        <w:rPr>
          <w:sz w:val="15"/>
          <w:vertAlign w:val="superscript"/>
        </w:rPr>
        <w:t>P101</w:t>
      </w:r>
      <w:r>
        <w:t>。年金合同（Annuity contracts）和永久人寿保险单（Permanent life insurance policies）均属于此类，因为它们通常累积可观的现金价值，并允许投保人进行灵活缴费、提前退保等操作。相比之下，团体保险产品（Group insurance products）通常由雇主为雇员统一购买，个人不直接控制保单条款，也无法自由退保获取现金价值，其结构使得犯罪分子难以将其用作个人洗钱工具。由此可推知，在四个选项中，团体保险产品的洗钱风险最低。</w:t>
      </w:r>
    </w:p>
    <w:p>
      <w:pPr>
        <w:spacing w:before="120" w:after="40"/>
      </w:pPr>
      <w:r>
        <w:rPr>
          <w:b/>
          <w:sz w:val="21"/>
          <w:shd w:fill="D6E4F0" w:val="clear"/>
        </w:rPr>
        <w:t>A项错误</w:t>
      </w:r>
    </w:p>
    <w:p>
      <w:pPr>
        <w:spacing w:line="360" w:lineRule="auto" w:after="40"/>
        <w:ind w:firstLine="420"/>
      </w:pPr>
      <w:r>
        <w:t>年金合同旨在为持有人累积现金价值并在未来提供现金流，更吻合教材中“高现金价值”这一高风险特征</w:t>
      </w:r>
      <w:r>
        <w:rPr>
          <w:sz w:val="15"/>
          <w:vertAlign w:val="superscript"/>
        </w:rPr>
        <w:t>P101</w:t>
      </w:r>
      <w:r>
        <w:t>。相比之下，团体保险产品的个人控制度极低，风险匹配度不如正确选项。</w:t>
      </w:r>
    </w:p>
    <w:p>
      <w:pPr>
        <w:spacing w:before="120" w:after="40"/>
      </w:pPr>
      <w:r>
        <w:rPr>
          <w:b/>
          <w:sz w:val="21"/>
          <w:shd w:fill="D6E4F0" w:val="clear"/>
        </w:rPr>
        <w:t>B项错误</w:t>
      </w:r>
    </w:p>
    <w:p>
      <w:pPr>
        <w:spacing w:line="360" w:lineRule="auto" w:after="40"/>
        <w:ind w:firstLine="420"/>
      </w:pPr>
      <w:r>
        <w:t>永久人寿保险单具有长期储蓄和投资功能，内含较高现金价值，符合教材对高风险保险产品的描述</w:t>
      </w:r>
      <w:r>
        <w:rPr>
          <w:sz w:val="15"/>
          <w:vertAlign w:val="superscript"/>
        </w:rPr>
        <w:t>P101</w:t>
      </w:r>
      <w:r>
        <w:t>。题干要求的是风险最低的产品，团体保险产品因缺少个人兑付现金价值的灵活性，与此要求更直接匹配。</w:t>
      </w:r>
    </w:p>
    <w:p>
      <w:pPr>
        <w:spacing w:before="120" w:after="40"/>
      </w:pPr>
      <w:r>
        <w:rPr>
          <w:b/>
          <w:sz w:val="21"/>
          <w:shd w:fill="D6E4F0" w:val="clear"/>
        </w:rPr>
        <w:t>D项错误</w:t>
      </w:r>
    </w:p>
    <w:p>
      <w:pPr>
        <w:spacing w:line="360" w:lineRule="auto" w:after="40"/>
        <w:ind w:firstLine="420"/>
      </w:pPr>
      <w:r>
        <w:t>题干未提供现金担保产品的教材定义，从名称判断其与“现金”操作直接相关，这本身就引入了更高的洗钱风险不确定性。而团体保险产品的结构决定了洗钱者难以将其资产化或变现，更符合“风险最低”的要求。</w:t>
      </w:r>
    </w:p>
    <w:p>
      <w:pPr>
        <w:spacing w:before="120" w:after="40"/>
      </w:pPr>
      <w:r>
        <w:rPr>
          <w:b/>
          <w:sz w:val="21"/>
          <w:shd w:fill="D6E4F0" w:val="clear"/>
        </w:rPr>
        <w:t>易错提醒</w:t>
      </w:r>
    </w:p>
    <w:p>
      <w:pPr>
        <w:spacing w:line="360" w:lineRule="auto" w:after="40"/>
        <w:ind w:firstLine="420"/>
      </w:pPr>
      <w:r>
        <w:t>区分保险产品洗钱风险高低，核心是看投保人能否控制并兑现产品的现金价值。年金合同和永久人寿保险都允许个人累积并支取现金价值，属于教材认定的高风险类型；团体保险由机构统一持有，个人无法支取，风险因此最低。</w:t>
      </w:r>
    </w:p>
    <w:p>
      <w:pPr>
        <w:spacing w:line="360" w:lineRule="auto" w:after="120"/>
      </w:pPr>
      <w:r/>
    </w:p>
    <w:p>
      <w:pPr>
        <w:spacing w:line="360" w:lineRule="auto" w:after="40"/>
      </w:pPr>
      <w:r>
        <w:t>3. 以下哪些是接纳高风险客户相关的洗钱风险？(选择两项.) ( )</w:t>
      </w:r>
    </w:p>
    <w:p>
      <w:pPr>
        <w:spacing w:line="360" w:lineRule="auto" w:after="20"/>
        <w:ind w:firstLine="283"/>
      </w:pPr>
      <w:r>
        <w:t>A. 加强的客户尽职调查要求</w:t>
      </w:r>
    </w:p>
    <w:p>
      <w:pPr>
        <w:spacing w:line="360" w:lineRule="auto" w:after="20"/>
        <w:ind w:firstLine="283"/>
      </w:pPr>
      <w:r>
        <w:t>B. 洗钱非法所得的更大潜力</w:t>
      </w:r>
    </w:p>
    <w:p>
      <w:pPr>
        <w:spacing w:line="360" w:lineRule="auto" w:after="20"/>
        <w:ind w:firstLine="283"/>
      </w:pPr>
      <w:r>
        <w:t>C. 与低风险客户相比,监管审查力度降低</w:t>
      </w:r>
    </w:p>
    <w:p>
      <w:pPr>
        <w:spacing w:line="360" w:lineRule="auto" w:after="20"/>
        <w:ind w:firstLine="283"/>
      </w:pPr>
      <w:r>
        <w:t>D. 更有可能从事金融犯罪活动</w:t>
      </w:r>
    </w:p>
    <w:p>
      <w:pPr>
        <w:spacing w:line="360" w:lineRule="auto" w:after="40"/>
      </w:pPr>
      <w:r>
        <w:t>答案:B、D</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区分风险本身（潜能/可能性）与风险控制措施（EDD）</w:t>
      </w:r>
    </w:p>
    <w:p>
      <w:pPr>
        <w:spacing w:before="120" w:after="40"/>
      </w:pPr>
      <w:r>
        <w:rPr>
          <w:b/>
          <w:sz w:val="21"/>
          <w:shd w:fill="D6E4F0" w:val="clear"/>
        </w:rPr>
        <w:t>核心解析</w:t>
      </w:r>
    </w:p>
    <w:p>
      <w:pPr>
        <w:spacing w:line="360" w:lineRule="auto" w:after="40"/>
        <w:ind w:firstLine="420"/>
      </w:pPr>
      <w:r>
        <w:t>洗钱风险指客户利用金融机构将非法所得转入金融系统或从事金融犯罪的可能性。教材在分析证券业风险时指出，政治敏感人物等高风险客户更容易涉及腐败，中介机构可能代客户实施非法交易</w:t>
      </w:r>
      <w:r>
        <w:rPr>
          <w:sz w:val="15"/>
          <w:vertAlign w:val="superscript"/>
        </w:rPr>
        <w:t>P104</w:t>
      </w:r>
      <w:r>
        <w:t>，这直接说明高风险客户具有“洗钱非法所得的更大潜力”。同时，教材在列举客户被归类为高风险的依据时，明确将“行业风险”（如现金密集型行业）和“负面媒体”（与金融犯罪调查相关）作为判断标准</w:t>
      </w:r>
      <w:r>
        <w:rPr>
          <w:sz w:val="15"/>
          <w:vertAlign w:val="superscript"/>
        </w:rPr>
        <w:t>P312</w:t>
      </w:r>
      <w:r>
        <w:t>。这意味着，一个客户之所以被认定为高风险，本身就基于其“更有可能从事金融犯罪活动”这一特征。换言之，选项B和选项D描述的是高风险客户内在的风险属性，是金融机构需要识别和评估的风险本身。而选项A描述的“加强的客户尽职调查”，是机构在识别出这种高风险后采取的应对措施</w:t>
      </w:r>
      <w:r>
        <w:rPr>
          <w:sz w:val="15"/>
          <w:vertAlign w:val="superscript"/>
        </w:rPr>
        <w:t>P270</w:t>
      </w:r>
      <w:r>
        <w:t>，属于风险控制手段，而非风险本身。</w:t>
      </w:r>
    </w:p>
    <w:p>
      <w:pPr>
        <w:spacing w:before="120" w:after="40"/>
      </w:pPr>
      <w:r>
        <w:rPr>
          <w:b/>
          <w:sz w:val="21"/>
          <w:shd w:fill="D6E4F0" w:val="clear"/>
        </w:rPr>
        <w:t>教材原句</w:t>
      </w:r>
    </w:p>
    <w:p>
      <w:pPr>
        <w:spacing w:line="360" w:lineRule="auto" w:after="40"/>
        <w:ind w:firstLine="420"/>
      </w:pPr>
      <w:r>
        <w:t>"High-risk customers, such as PEPs, and intermediaries require careful risk assessment. PEPs might be susceptible to corruption, while intermediaries might facilitate illicit transactions on behalf of customers."</w:t>
      </w:r>
    </w:p>
    <w:p>
      <w:pPr>
        <w:spacing w:before="120" w:after="40"/>
      </w:pPr>
      <w:r>
        <w:rPr>
          <w:b/>
          <w:sz w:val="21"/>
          <w:shd w:fill="D6E4F0" w:val="clear"/>
        </w:rPr>
        <w:t>A项错误</w:t>
      </w:r>
    </w:p>
    <w:p>
      <w:pPr>
        <w:spacing w:line="360" w:lineRule="auto" w:after="40"/>
        <w:ind w:firstLine="420"/>
      </w:pPr>
      <w:r>
        <w:t>选项A“加强的客户尽职调查要求”在教材中是对高风险客户的应对措施，而非风险本身。教材指出高风险客户可能需接受强化尽职调查</w:t>
      </w:r>
      <w:r>
        <w:rPr>
          <w:sz w:val="15"/>
          <w:vertAlign w:val="superscript"/>
        </w:rPr>
        <w:t>P270</w:t>
      </w:r>
      <w:r>
        <w:t>，即EDD是因应风险而产生的义务，而非“接纳高风险客户”带来的内在洗钱风险。题干问的是接纳高风险客户关联的洗钱风险，将应对措施误判为风险属于概念混淆。</w:t>
      </w:r>
    </w:p>
    <w:p>
      <w:pPr>
        <w:spacing w:before="120" w:after="40"/>
      </w:pPr>
      <w:r>
        <w:rPr>
          <w:b/>
          <w:sz w:val="21"/>
          <w:shd w:fill="D6E4F0" w:val="clear"/>
        </w:rPr>
        <w:t>C项错误</w:t>
      </w:r>
    </w:p>
    <w:p>
      <w:pPr>
        <w:spacing w:line="360" w:lineRule="auto" w:after="40"/>
        <w:ind w:firstLine="420"/>
      </w:pPr>
      <w:r>
        <w:t>选项C“与低风险客户相比，监管审查力度降低”与教材逻辑相悖。教材强调高风险客户需接受强化尽职调查和加强监控</w:t>
      </w:r>
      <w:r>
        <w:rPr>
          <w:sz w:val="15"/>
          <w:vertAlign w:val="superscript"/>
        </w:rPr>
        <w:t>P270</w:t>
      </w:r>
      <w:r>
        <w:t>，对高风险客户会“应用持续监控和更深入的交易审查”</w:t>
      </w:r>
      <w:r>
        <w:rPr>
          <w:sz w:val="15"/>
          <w:vertAlign w:val="superscript"/>
        </w:rPr>
        <w:t>P303</w:t>
      </w:r>
      <w:r>
        <w:t>，甚至可能在EDD完成前施加临时限制</w:t>
      </w:r>
      <w:r>
        <w:rPr>
          <w:sz w:val="15"/>
          <w:vertAlign w:val="superscript"/>
        </w:rPr>
        <w:t>P312</w:t>
      </w:r>
      <w:r>
        <w:t>。相比之下，教材提到的是对低风险客户可采用简化CDD</w:t>
      </w:r>
      <w:r>
        <w:rPr>
          <w:sz w:val="15"/>
          <w:vertAlign w:val="superscript"/>
        </w:rPr>
        <w:t>P200</w:t>
      </w:r>
      <w:r>
        <w:t>。题干所述的高风险客户面临的监管审查力度会更高，而非降低。</w:t>
      </w:r>
    </w:p>
    <w:p>
      <w:pPr>
        <w:spacing w:before="120" w:after="40"/>
      </w:pPr>
      <w:r>
        <w:rPr>
          <w:b/>
          <w:sz w:val="21"/>
          <w:shd w:fill="D6E4F0" w:val="clear"/>
        </w:rPr>
        <w:t>易错提醒</w:t>
      </w:r>
    </w:p>
    <w:p>
      <w:pPr>
        <w:spacing w:line="360" w:lineRule="auto" w:after="40"/>
        <w:ind w:firstLine="420"/>
      </w:pPr>
      <w:r>
        <w:t>判断一个选项是否属于“风险本身”，可看它描述的是客户内在的威胁属性（如犯罪可能性、洗钱潜能），还是机构施加的控制行为（如EDD、监控）。前者是风险，后者是风险应对措施。</w:t>
      </w:r>
    </w:p>
    <w:p>
      <w:pPr>
        <w:spacing w:line="360" w:lineRule="auto" w:after="120"/>
      </w:pPr>
      <w:r/>
    </w:p>
    <w:p>
      <w:pPr>
        <w:spacing w:line="360" w:lineRule="auto" w:after="40"/>
      </w:pPr>
      <w:r>
        <w:t>4. [洗钱和恐怖融资的风险及方法]以下哪些是证券行业可能存在的洗钱行为的常见迹象？(选择两项.) ( )</w:t>
      </w:r>
    </w:p>
    <w:p>
      <w:pPr>
        <w:spacing w:line="360" w:lineRule="auto" w:after="20"/>
        <w:ind w:firstLine="283"/>
      </w:pPr>
      <w:r>
        <w:t>A. 在配偶去世后将证券转入现有经纪账户</w:t>
      </w:r>
    </w:p>
    <w:p>
      <w:pPr>
        <w:spacing w:line="360" w:lineRule="auto" w:after="20"/>
        <w:ind w:firstLine="283"/>
      </w:pPr>
      <w:r>
        <w:t>B. 允许固定收益证券到期</w:t>
      </w:r>
    </w:p>
    <w:p>
      <w:pPr>
        <w:spacing w:line="360" w:lineRule="auto" w:after="20"/>
        <w:ind w:firstLine="283"/>
      </w:pPr>
      <w:r>
        <w:t>C. 像存款账户一样使用经纪账户</w:t>
      </w:r>
    </w:p>
    <w:p>
      <w:pPr>
        <w:spacing w:line="360" w:lineRule="auto" w:after="20"/>
        <w:ind w:firstLine="283"/>
      </w:pPr>
      <w:r>
        <w:t>D. 进行涉及代名人或第三方的交易</w:t>
      </w:r>
    </w:p>
    <w:p>
      <w:pPr>
        <w:spacing w:line="360" w:lineRule="auto" w:after="40"/>
      </w:pPr>
      <w:r>
        <w:t>答案:C、D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识别证券业异常账户使用及第三方参与的洗钱常见迹象</w:t>
      </w:r>
    </w:p>
    <w:p>
      <w:pPr>
        <w:spacing w:before="120" w:after="40"/>
      </w:pPr>
      <w:r>
        <w:rPr>
          <w:b/>
          <w:sz w:val="21"/>
          <w:shd w:fill="D6E4F0" w:val="clear"/>
        </w:rPr>
        <w:t>核心解析</w:t>
      </w:r>
    </w:p>
    <w:p>
      <w:pPr>
        <w:spacing w:line="360" w:lineRule="auto" w:after="40"/>
        <w:ind w:firstLine="420"/>
      </w:pPr>
      <w:r>
        <w:t>证券行业在洗钱的离析阶段和融合阶段尤其脆弱</w:t>
      </w:r>
      <w:r>
        <w:rPr>
          <w:sz w:val="15"/>
          <w:vertAlign w:val="superscript"/>
        </w:rPr>
        <w:t>P104</w:t>
      </w:r>
      <w:r>
        <w:t>。行业具备高互动性、大交易量、快速执行和一定匿名性等特征，为犯罪分子洗钱创造了机会</w:t>
      </w:r>
      <w:r>
        <w:rPr>
          <w:sz w:val="15"/>
          <w:vertAlign w:val="superscript"/>
        </w:rPr>
        <w:t>P104</w:t>
      </w:r>
      <w:r>
        <w:t>。洗钱者可能将经纪账户当作存款账户使用，即将本应服务于投资的账户用于频繁的资金收付、存放或转移，背离了正常投资目的，这属于利用行业特性模糊资金轨迹的异常行为。同时，在证券交易中引入代名人或第三方（如壳公司、名义账户）会增加层层复杂性，使资金来源更难追踪</w:t>
      </w:r>
      <w:r>
        <w:rPr>
          <w:sz w:val="15"/>
          <w:vertAlign w:val="superscript"/>
        </w:rPr>
        <w:t>P66</w:t>
      </w:r>
      <w:r>
        <w:t>，且托管服务本身固有洗钱风险，尤其涉及名义账户时容易隐藏真实所有权</w:t>
      </w:r>
      <w:r>
        <w:rPr>
          <w:sz w:val="15"/>
          <w:vertAlign w:val="superscript"/>
        </w:rPr>
        <w:t>P106</w:t>
      </w:r>
      <w:r>
        <w:t>。题干询问证券行业可能的洗钱行为常见迹象，选项C和D分别对应了上述两类反常行为，因此为正确选项。</w:t>
      </w:r>
    </w:p>
    <w:p>
      <w:pPr>
        <w:spacing w:before="120" w:after="40"/>
      </w:pPr>
      <w:r>
        <w:rPr>
          <w:b/>
          <w:sz w:val="21"/>
          <w:shd w:fill="D6E4F0" w:val="clear"/>
        </w:rPr>
        <w:t>A项错误</w:t>
      </w:r>
    </w:p>
    <w:p>
      <w:pPr>
        <w:spacing w:line="360" w:lineRule="auto" w:after="40"/>
        <w:ind w:firstLine="420"/>
      </w:pPr>
      <w:r>
        <w:t>配偶去世后接收证券属于正常的遗产继承或资产转移，本身不具隐蔽性或欺骗性，与教材所关注的异常交易模式（如账户用途偏离投资目的、引入第三方掩盖来源）相比，缺乏洗钱迹象特征。</w:t>
      </w:r>
    </w:p>
    <w:p>
      <w:pPr>
        <w:spacing w:before="120" w:after="40"/>
      </w:pPr>
      <w:r>
        <w:rPr>
          <w:b/>
          <w:sz w:val="21"/>
          <w:shd w:fill="D6E4F0" w:val="clear"/>
        </w:rPr>
        <w:t>B项错误</w:t>
      </w:r>
    </w:p>
    <w:p>
      <w:pPr>
        <w:spacing w:line="360" w:lineRule="auto" w:after="40"/>
        <w:ind w:firstLine="420"/>
      </w:pPr>
      <w:r>
        <w:t>允许固定收益证券到期持有至到期是常规投资行为，不涉及主动的资金转移或结构复杂化，无法反映洗钱者利用证券业特性掩饰非法资金的意图，因此不是洗钱常见的警示信号。</w:t>
      </w:r>
    </w:p>
    <w:p>
      <w:pPr>
        <w:spacing w:before="120" w:after="40"/>
      </w:pPr>
      <w:r>
        <w:rPr>
          <w:b/>
          <w:sz w:val="21"/>
          <w:shd w:fill="D6E4F0" w:val="clear"/>
        </w:rPr>
        <w:t>易错提醒</w:t>
      </w:r>
    </w:p>
    <w:p>
      <w:pPr>
        <w:spacing w:line="360" w:lineRule="auto" w:after="40"/>
        <w:ind w:firstLine="420"/>
      </w:pPr>
      <w:r>
        <w:t>区分正常证券活动与洗钱迹象的关键在于是否偏离投资目的或引入不透明结构。证券继承、到期持有属于常规操作，不是洗钱迹象；而将经纪账户当存款账户使用、通过代名人或第三方进行交易，会模糊资金流向和所有权，是教材中明确的洗钱风险指标</w:t>
      </w:r>
      <w:r>
        <w:rPr>
          <w:sz w:val="15"/>
          <w:vertAlign w:val="superscript"/>
        </w:rPr>
        <w:t>P104、P106、P66</w:t>
      </w:r>
      <w:r>
        <w:t>。</w:t>
      </w:r>
    </w:p>
    <w:p>
      <w:pPr>
        <w:spacing w:line="360" w:lineRule="auto" w:after="120"/>
      </w:pPr>
      <w:r/>
    </w:p>
    <w:p>
      <w:pPr>
        <w:spacing w:line="360" w:lineRule="auto" w:after="40"/>
      </w:pPr>
      <w:r>
        <w:t>5. [洗钱和恐怖融资的风险及方法]以下哪些会是人寿保险公司洗钱的警示信号？(选择两项.) ( )</w:t>
      </w:r>
    </w:p>
    <w:p>
      <w:pPr>
        <w:spacing w:line="360" w:lineRule="auto" w:after="20"/>
        <w:ind w:firstLine="283"/>
      </w:pPr>
      <w:r>
        <w:t>A. 提前数年支付保费并提前终止以获取退款</w:t>
      </w:r>
    </w:p>
    <w:p>
      <w:pPr>
        <w:spacing w:line="360" w:lineRule="auto" w:after="20"/>
        <w:ind w:firstLine="283"/>
      </w:pPr>
      <w:r>
        <w:t>B. 拥有多份保险单的自然人</w:t>
      </w:r>
    </w:p>
    <w:p>
      <w:pPr>
        <w:spacing w:line="360" w:lineRule="auto" w:after="20"/>
        <w:ind w:firstLine="283"/>
      </w:pPr>
      <w:r>
        <w:t>C. 高保费的高额赔付人寿保险</w:t>
      </w:r>
    </w:p>
    <w:p>
      <w:pPr>
        <w:spacing w:line="360" w:lineRule="auto" w:after="20"/>
        <w:ind w:firstLine="283"/>
      </w:pPr>
      <w:r>
        <w:t>D. 经常更换政策并接受处罚</w:t>
      </w:r>
    </w:p>
    <w:p>
      <w:pPr>
        <w:spacing w:line="360" w:lineRule="auto" w:after="20"/>
        <w:ind w:firstLine="283"/>
      </w:pPr>
      <w:r>
        <w:t>E. 向老年人发放的受益人款项</w:t>
      </w:r>
    </w:p>
    <w:p>
      <w:pPr>
        <w:spacing w:line="360" w:lineRule="auto" w:after="40"/>
      </w:pPr>
      <w:r>
        <w:t>答案:A、D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识别保险场景下提前退保、频繁换单等反常行为的洗钱警示信号</w:t>
      </w:r>
    </w:p>
    <w:p>
      <w:pPr>
        <w:spacing w:before="120" w:after="40"/>
      </w:pPr>
      <w:r>
        <w:rPr>
          <w:b/>
          <w:sz w:val="21"/>
          <w:shd w:fill="D6E4F0" w:val="clear"/>
        </w:rPr>
        <w:t>核心解析</w:t>
      </w:r>
    </w:p>
    <w:p>
      <w:pPr>
        <w:spacing w:line="360" w:lineRule="auto" w:after="40"/>
        <w:ind w:firstLine="420"/>
      </w:pPr>
      <w:r>
        <w:t>保险洗钱的红旗警示信号包括：冷静期后提前终止保单、第三方超额缴费、保单生效后立即理赔、以及提前现金退保</w:t>
      </w:r>
      <w:r>
        <w:rPr>
          <w:sz w:val="15"/>
          <w:vertAlign w:val="superscript"/>
        </w:rPr>
        <w:t>P101</w:t>
      </w:r>
      <w:r>
        <w:t>。这些行为的共同特征是投保人不以获取长期保障为目的，而是利用保单的缴费和退保机制将非法资金快速转化为看似合法的退保金。选项A“提前数年支付保费并提前终止以获取退款”直接命中“提前现金退保”这一信号——投保人一次性投入大额保费后迅速退出，不在乎退保费用损失，更吻合“将非法资金转化为合法资产”的洗钱逻辑</w:t>
      </w:r>
      <w:r>
        <w:rPr>
          <w:sz w:val="15"/>
          <w:vertAlign w:val="superscript"/>
        </w:rPr>
        <w:t>P101</w:t>
      </w:r>
      <w:r>
        <w:t>。选项D“经常更换政策并接受处罚”体现了反复主动触发退保或保单终止、再重新投保的行为模式，与此教材所述犯罪分子“过早兑现保单”的手法一致，反复切换保单并愿意承担罚款更可能是为了混淆资金轨迹而非追求保障效率。二者都指向利用保险合同作为资金清洗的通道，而非正常的保险需求。</w:t>
      </w:r>
    </w:p>
    <w:p>
      <w:pPr>
        <w:spacing w:before="120" w:after="40"/>
      </w:pPr>
      <w:r>
        <w:rPr>
          <w:b/>
          <w:sz w:val="21"/>
          <w:shd w:fill="D6E4F0" w:val="clear"/>
        </w:rPr>
        <w:t>教材原句</w:t>
      </w:r>
    </w:p>
    <w:p>
      <w:pPr>
        <w:spacing w:line="360" w:lineRule="auto" w:after="40"/>
        <w:ind w:firstLine="420"/>
      </w:pPr>
      <w:r>
        <w:t>"Red flags include early termination of policies after the cooling-off period, premium overpayments from third parties, claims filed shortly after the policy becomes effective, and early cash surrenders."</w:t>
      </w:r>
    </w:p>
    <w:p>
      <w:pPr>
        <w:spacing w:before="120" w:after="40"/>
      </w:pPr>
      <w:r>
        <w:rPr>
          <w:b/>
          <w:sz w:val="21"/>
          <w:shd w:fill="D6E4F0" w:val="clear"/>
        </w:rPr>
        <w:t>B项错误</w:t>
      </w:r>
    </w:p>
    <w:p>
      <w:pPr>
        <w:spacing w:line="360" w:lineRule="auto" w:after="40"/>
        <w:ind w:firstLine="420"/>
      </w:pPr>
      <w:r>
        <w:t>拥有一份以上保单是普通客户常见的财务规划行为，题干未涉及投保频率、保费资金来源、关联账户异常等洗钱结构要素。在缺乏这些动态交易细节的情况下，多保单本身作为警示信号的证据不足，不如正确项直接吻合教材列举的具体反常退保行为。</w:t>
      </w:r>
    </w:p>
    <w:p>
      <w:pPr>
        <w:spacing w:before="120" w:after="40"/>
      </w:pPr>
      <w:r>
        <w:rPr>
          <w:b/>
          <w:sz w:val="21"/>
          <w:shd w:fill="D6E4F0" w:val="clear"/>
        </w:rPr>
        <w:t>C项错误</w:t>
      </w:r>
    </w:p>
    <w:p>
      <w:pPr>
        <w:spacing w:line="360" w:lineRule="auto" w:after="40"/>
        <w:ind w:firstLine="420"/>
      </w:pPr>
      <w:r>
        <w:t>教材列举高额人寿保险属于高风险产品，会引发反洗钱关注</w:t>
      </w:r>
      <w:r>
        <w:rPr>
          <w:sz w:val="15"/>
          <w:vertAlign w:val="superscript"/>
        </w:rPr>
        <w:t>P101</w:t>
      </w:r>
      <w:r>
        <w:t>，但高风险产品本身不等同于具体的洗钱警示信号。题干问的是暗示洗钱行为正在发生的“红旗信号”，而非哪些产品类型需要留意。相较于选项A和D所描述的购保后迅速脱离保单的行为模式，仅凭购买一份高额理赔保单本身，缺少了资金进出反常、交易节奏异常等动态行为要素，因此匹配度不如正确项直接。</w:t>
      </w:r>
    </w:p>
    <w:p>
      <w:pPr>
        <w:spacing w:before="120" w:after="40"/>
      </w:pPr>
      <w:r>
        <w:rPr>
          <w:b/>
          <w:sz w:val="21"/>
          <w:shd w:fill="D6E4F0" w:val="clear"/>
        </w:rPr>
        <w:t>E项错误</w:t>
      </w:r>
    </w:p>
    <w:p>
      <w:pPr>
        <w:spacing w:line="360" w:lineRule="auto" w:after="40"/>
        <w:ind w:firstLine="420"/>
      </w:pPr>
      <w:r>
        <w:t>教材指出老年人受金融诈骗影响尤为严重</w:t>
      </w:r>
      <w:r>
        <w:rPr>
          <w:sz w:val="15"/>
          <w:vertAlign w:val="superscript"/>
        </w:rPr>
        <w:t>P42</w:t>
      </w:r>
      <w:r>
        <w:t>，但这是描述受害人群体的普遍脆弱性，而非利用保险产品进行洗钱的手法特征。题干问的是保险公司应识别的洗钱警示信号，向老年人支付受益人款项在没有其他异常要素（如与投保人无关联的第三方收款、短期内频繁变更受益人）时，更可能是正常的保单理赔或遗赠安排，与教材界定的退保行为类红旗信号关联度较低。</w:t>
      </w:r>
    </w:p>
    <w:p>
      <w:pPr>
        <w:spacing w:before="120" w:after="40"/>
      </w:pPr>
      <w:r>
        <w:rPr>
          <w:b/>
          <w:sz w:val="21"/>
          <w:shd w:fill="D6E4F0" w:val="clear"/>
        </w:rPr>
        <w:t>易错提醒</w:t>
      </w:r>
    </w:p>
    <w:p>
      <w:pPr>
        <w:spacing w:line="360" w:lineRule="auto" w:after="40"/>
        <w:ind w:firstLine="420"/>
      </w:pPr>
      <w:r>
        <w:t>高风险产品 vs 洗钱行为警示信号：教材列举高额人寿保险属于“高风险产品”</w:t>
      </w:r>
      <w:r>
        <w:rPr>
          <w:sz w:val="15"/>
          <w:vertAlign w:val="superscript"/>
        </w:rPr>
        <w:t>P101</w:t>
      </w:r>
      <w:r>
        <w:t>，这是产品风险评估维度——产品固有属性可能被滥用；而“早期现金退保”“提前终止保单”等才是具体的洗钱警示信号</w:t>
      </w:r>
      <w:r>
        <w:rPr>
          <w:sz w:val="15"/>
          <w:vertAlign w:val="superscript"/>
        </w:rPr>
        <w:t>P101</w:t>
      </w:r>
      <w:r>
        <w:t>——客户正在做的反常动作。判断标准是：问“红旗信号”时选行为，问“风险来源”时才选产品类型或客户属性。</w:t>
      </w:r>
    </w:p>
    <w:p>
      <w:pPr>
        <w:spacing w:line="360" w:lineRule="auto" w:after="120"/>
      </w:pPr>
      <w:r/>
    </w:p>
    <w:p>
      <w:pPr>
        <w:spacing w:line="360" w:lineRule="auto" w:after="40"/>
      </w:pPr>
      <w:r>
        <w:t>6. 根据金融行动特别工作组（FATF）的《基于风险方法：人寿保险部门指南》，以下哪两项是涉及第三方参与人寿保险产品的洗钱警示信号？（选择两项。） ( )</w:t>
      </w:r>
    </w:p>
    <w:p>
      <w:pPr>
        <w:spacing w:line="360" w:lineRule="auto" w:after="20"/>
        <w:ind w:firstLine="283"/>
      </w:pPr>
      <w:r>
        <w:t>A. 一位客户聘请律师就保单签发事宜进行咨询</w:t>
      </w:r>
    </w:p>
    <w:p>
      <w:pPr>
        <w:spacing w:line="360" w:lineRule="auto" w:after="20"/>
        <w:ind w:firstLine="283"/>
      </w:pPr>
      <w:r>
        <w:t>B. 客户将保单转让给与原保单签发公司无关联的另一家保险公司</w:t>
      </w:r>
    </w:p>
    <w:p>
      <w:pPr>
        <w:spacing w:line="360" w:lineRule="auto" w:after="20"/>
        <w:ind w:firstLine="283"/>
      </w:pPr>
      <w:r>
        <w:t>C. 经常收到与保单持有人无明显关系的第三方支付款项</w:t>
      </w:r>
    </w:p>
    <w:p>
      <w:pPr>
        <w:spacing w:line="360" w:lineRule="auto" w:after="20"/>
        <w:ind w:firstLine="283"/>
      </w:pPr>
      <w:r>
        <w:t>D. 客户指定一个显然不相关的第三方为受益人</w:t>
      </w:r>
    </w:p>
    <w:p>
      <w:pPr>
        <w:spacing w:line="360" w:lineRule="auto" w:after="40"/>
      </w:pPr>
      <w:r>
        <w:t>答案:C、D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识别保险产品中第三方参与的洗钱警示信号</w:t>
      </w:r>
    </w:p>
    <w:p>
      <w:pPr>
        <w:spacing w:before="120" w:after="40"/>
      </w:pPr>
      <w:r>
        <w:rPr>
          <w:b/>
          <w:sz w:val="21"/>
          <w:shd w:fill="D6E4F0" w:val="clear"/>
        </w:rPr>
        <w:t>核心解析</w:t>
      </w:r>
    </w:p>
    <w:p>
      <w:pPr>
        <w:spacing w:line="360" w:lineRule="auto" w:after="40"/>
        <w:ind w:firstLine="420"/>
      </w:pPr>
      <w:r>
        <w:t>教材列出保险洗钱红旗信号包括第三方超额缴费</w:t>
      </w:r>
      <w:r>
        <w:rPr>
          <w:sz w:val="15"/>
          <w:vertAlign w:val="superscript"/>
        </w:rPr>
        <w:t>P101</w:t>
      </w:r>
      <w:r>
        <w:t>，犯罪分子也可能通过无关第三方代缴保费来利用保险产品</w:t>
      </w:r>
      <w:r>
        <w:rPr>
          <w:sz w:val="15"/>
          <w:vertAlign w:val="superscript"/>
        </w:rPr>
        <w:t>P101</w:t>
      </w:r>
      <w:r>
        <w:t>。本题中，选项C“经常收到与保单持有人无明显关系的第三方支付款项”直接对应第三方超额缴费或第三方代缴。选项D“指定显然不相关的第三方为受益人”使保险赔付流向无关方，类似于向无关第三方支付资金的风险指标</w:t>
      </w:r>
      <w:r>
        <w:rPr>
          <w:sz w:val="15"/>
          <w:vertAlign w:val="superscript"/>
        </w:rPr>
        <w:t>P38</w:t>
      </w:r>
      <w:r>
        <w:t>，属于第三方参与的警示信号。因此，C和D符合FATF人寿保险指南关于第三方参与的洗钱红旗信号。</w:t>
      </w:r>
    </w:p>
    <w:p>
      <w:pPr>
        <w:spacing w:before="120" w:after="40"/>
      </w:pPr>
      <w:r>
        <w:rPr>
          <w:b/>
          <w:sz w:val="21"/>
          <w:shd w:fill="D6E4F0" w:val="clear"/>
        </w:rPr>
        <w:t>教材原句</w:t>
      </w:r>
    </w:p>
    <w:p>
      <w:pPr>
        <w:spacing w:line="360" w:lineRule="auto" w:after="40"/>
        <w:ind w:firstLine="420"/>
      </w:pPr>
      <w:r>
        <w:t>"Red flags include early termination of policies after the cooling-off period, premium overpayments from third parties, claims filed shortly after the policy becomes effective, and early cash surrenders."</w:t>
      </w:r>
    </w:p>
    <w:p>
      <w:pPr>
        <w:spacing w:before="120" w:after="40"/>
      </w:pPr>
      <w:r>
        <w:rPr>
          <w:b/>
          <w:sz w:val="21"/>
          <w:shd w:fill="D6E4F0" w:val="clear"/>
        </w:rPr>
        <w:t>A项错误</w:t>
      </w:r>
    </w:p>
    <w:p>
      <w:pPr>
        <w:spacing w:line="360" w:lineRule="auto" w:after="40"/>
        <w:ind w:firstLine="420"/>
      </w:pPr>
      <w:r>
        <w:t>聘请律师咨询保单签发属于获取专业建议的正常行为，不涉及第三方支付或受益关系异常。相比之下，正确项C和D直接体现了无关第三方在资金流入或流出保险产品中的参与，更吻合教材对第三方洗钱风险的界定。</w:t>
      </w:r>
    </w:p>
    <w:p>
      <w:pPr>
        <w:spacing w:before="120" w:after="40"/>
      </w:pPr>
      <w:r>
        <w:rPr>
          <w:b/>
          <w:sz w:val="21"/>
          <w:shd w:fill="D6E4F0" w:val="clear"/>
        </w:rPr>
        <w:t>B项错误</w:t>
      </w:r>
    </w:p>
    <w:p>
      <w:pPr>
        <w:spacing w:line="360" w:lineRule="auto" w:after="40"/>
        <w:ind w:firstLine="420"/>
      </w:pPr>
      <w:r>
        <w:t>将保单转让给另一家保险公司是保单持有人的合法交易行为，教材未将其列为第三方参与的洗钱风险指标。正确项C和D均涉及“与保单持有人无明显关系”的第三方介入支付或受益，更直接匹配题干要求的第三方参与警示信号。</w:t>
      </w:r>
    </w:p>
    <w:p>
      <w:pPr>
        <w:spacing w:line="360" w:lineRule="auto" w:after="120"/>
      </w:pPr>
      <w:r/>
    </w:p>
    <w:p>
      <w:pPr>
        <w:spacing w:line="360" w:lineRule="auto" w:after="40"/>
      </w:pPr>
      <w:r>
        <w:t>7. 金融行业在哪些方面容易受到洗钱风险的影响？(选择三项。) ( )</w:t>
      </w:r>
    </w:p>
    <w:p>
      <w:pPr>
        <w:spacing w:line="360" w:lineRule="auto" w:after="20"/>
        <w:ind w:firstLine="283"/>
      </w:pPr>
      <w:r>
        <w:t>A. 它须承担更严格的监管义务，并有严格的报告要求，以保护金融体系免受非法资金流动的影响，并确保市场稳定</w:t>
      </w:r>
    </w:p>
    <w:p>
      <w:pPr>
        <w:spacing w:line="360" w:lineRule="auto" w:after="20"/>
        <w:ind w:firstLine="283"/>
      </w:pPr>
      <w:r>
        <w:t>B. 它投资于新技术和新系统，以确保能够有效且及时地发现金融犯罪</w:t>
      </w:r>
    </w:p>
    <w:p>
      <w:pPr>
        <w:spacing w:line="360" w:lineRule="auto" w:after="20"/>
        <w:ind w:firstLine="283"/>
      </w:pPr>
      <w:r>
        <w:t>C. 它提供复杂的金融产品，这可能会使资金流动更难追踪</w:t>
      </w:r>
    </w:p>
    <w:p>
      <w:pPr>
        <w:spacing w:line="360" w:lineRule="auto" w:after="20"/>
        <w:ind w:firstLine="283"/>
      </w:pPr>
      <w:r>
        <w:t>D. 它经常与高风险司法管辖区打交道，这可能会增加遭受金融犯罪的风险或受到监管不力的影响</w:t>
      </w:r>
    </w:p>
    <w:p>
      <w:pPr>
        <w:spacing w:line="360" w:lineRule="auto" w:after="20"/>
        <w:ind w:firstLine="283"/>
      </w:pPr>
      <w:r>
        <w:t>E. 它的交易量很大，这使得识别可疑活动更具挑战性</w:t>
      </w:r>
    </w:p>
    <w:p>
      <w:pPr>
        <w:spacing w:line="360" w:lineRule="auto" w:after="40"/>
      </w:pPr>
      <w:r>
        <w:t>答案:C、D、E</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识别金融行业业务特性带来的洗钱脆弱性</w:t>
      </w:r>
    </w:p>
    <w:p>
      <w:pPr>
        <w:spacing w:before="120" w:after="40"/>
      </w:pPr>
      <w:r>
        <w:rPr>
          <w:b/>
          <w:sz w:val="21"/>
          <w:shd w:fill="D6E4F0" w:val="clear"/>
        </w:rPr>
        <w:t>核心解析</w:t>
      </w:r>
    </w:p>
    <w:p>
      <w:pPr>
        <w:spacing w:line="360" w:lineRule="auto" w:after="40"/>
        <w:ind w:firstLine="420"/>
      </w:pPr>
      <w:r>
        <w:t>洗钱风险源于金融行业自身的业务特性。C项符合教材所指：复杂金融产品可掩盖资金来源并复杂化交易监控</w:t>
      </w:r>
      <w:r>
        <w:rPr>
          <w:sz w:val="15"/>
          <w:vertAlign w:val="superscript"/>
        </w:rPr>
        <w:t>P104</w:t>
      </w:r>
      <w:r>
        <w:t>，结构化产品的不透明性也使追溯资金流向更困难</w:t>
      </w:r>
      <w:r>
        <w:rPr>
          <w:sz w:val="15"/>
          <w:vertAlign w:val="superscript"/>
        </w:rPr>
        <w:t>P81</w:t>
      </w:r>
      <w:r>
        <w:t>。D项亦直接匹配：高风险司法管辖区为犯罪分子实施洗钱提供有利环境</w:t>
      </w:r>
      <w:r>
        <w:rPr>
          <w:sz w:val="15"/>
          <w:vertAlign w:val="superscript"/>
        </w:rPr>
        <w:t>P129</w:t>
      </w:r>
      <w:r>
        <w:t>，且银行国际业务使犯罪分子得以利用监管差异</w:t>
      </w:r>
      <w:r>
        <w:rPr>
          <w:sz w:val="15"/>
          <w:vertAlign w:val="superscript"/>
        </w:rPr>
        <w:t>P54</w:t>
      </w:r>
      <w:r>
        <w:t>。E项同样为教材明确的风险因素：银行每日处理大量交易，非法资金易混入合法活动</w:t>
      </w:r>
      <w:r>
        <w:rPr>
          <w:sz w:val="15"/>
          <w:vertAlign w:val="superscript"/>
        </w:rPr>
        <w:t>P54</w:t>
      </w:r>
      <w:r>
        <w:t>，零售银行交易量大使识别可疑活动更具挑战</w:t>
      </w:r>
      <w:r>
        <w:rPr>
          <w:sz w:val="15"/>
          <w:vertAlign w:val="superscript"/>
        </w:rPr>
        <w:t>P54</w:t>
      </w:r>
      <w:r>
        <w:t>。因此，金融行业在提供复杂产品、与高风险司法管辖区往来以及承载巨量交易这三个方面具备固有脆弱性。</w:t>
      </w:r>
    </w:p>
    <w:p>
      <w:pPr>
        <w:spacing w:before="120" w:after="40"/>
      </w:pPr>
      <w:r>
        <w:rPr>
          <w:b/>
          <w:sz w:val="21"/>
          <w:shd w:fill="D6E4F0" w:val="clear"/>
        </w:rPr>
        <w:t>教材原句</w:t>
      </w:r>
    </w:p>
    <w:p>
      <w:pPr>
        <w:spacing w:line="360" w:lineRule="auto" w:after="40"/>
        <w:ind w:firstLine="420"/>
      </w:pPr>
      <w:r>
        <w:t>"Complex financial products present a risk as they can obscure the source of funds and complicate transaction monitoring."</w:t>
      </w:r>
    </w:p>
    <w:p>
      <w:pPr>
        <w:spacing w:before="120" w:after="40"/>
      </w:pPr>
      <w:r>
        <w:rPr>
          <w:b/>
          <w:sz w:val="21"/>
          <w:shd w:fill="D6E4F0" w:val="clear"/>
        </w:rPr>
        <w:t>A项错误</w:t>
      </w:r>
    </w:p>
    <w:p>
      <w:pPr>
        <w:spacing w:line="360" w:lineRule="auto" w:after="40"/>
        <w:ind w:firstLine="420"/>
      </w:pPr>
      <w:r>
        <w:t>该选项描述金融行业须承担的严格监管义务和报告要求，属于行业为管理洗钱风险而遵循的外部规范，而非其易受风险影响的业务内在特征。题干问的是“容易受到洗钱风险的影响”的方面，正确项更直接地指向业务自身的脆弱性，而非监管应对义务。</w:t>
      </w:r>
    </w:p>
    <w:p>
      <w:pPr>
        <w:spacing w:before="120" w:after="40"/>
      </w:pPr>
      <w:r>
        <w:rPr>
          <w:b/>
          <w:sz w:val="21"/>
          <w:shd w:fill="D6E4F0" w:val="clear"/>
        </w:rPr>
        <w:t>B项错误</w:t>
      </w:r>
    </w:p>
    <w:p>
      <w:pPr>
        <w:spacing w:line="360" w:lineRule="auto" w:after="40"/>
        <w:ind w:firstLine="420"/>
      </w:pPr>
      <w:r>
        <w:t>该选项指向在新技术和新系统上的投资，属于金融行业为有效检测金融犯罪而采取的控制措施，与行业“易受风险影响的因素”本就不同层面。相比业务特性本身带来的隐患，该类投入更多反映的是行业反制手段，而非题干所问的脆弱性来源。</w:t>
      </w:r>
    </w:p>
    <w:p>
      <w:pPr>
        <w:spacing w:before="120" w:after="40"/>
      </w:pPr>
      <w:r>
        <w:rPr>
          <w:b/>
          <w:sz w:val="21"/>
          <w:shd w:fill="D6E4F0" w:val="clear"/>
        </w:rPr>
        <w:t>易错提醒</w:t>
      </w:r>
    </w:p>
    <w:p>
      <w:pPr>
        <w:spacing w:line="360" w:lineRule="auto" w:after="40"/>
        <w:ind w:firstLine="420"/>
      </w:pPr>
      <w:r>
        <w:t>区分“脆弱性”与“控制措施”。题干问的是金融行业容易受洗钱风险影响的方面（即业务内在的脆弱性），而A和B描述的是行业为应对该风险而建立的监管义务或技术投入（控制手段）。做题时可先判断选项描述的是风险来源还是管理举措。</w:t>
      </w:r>
    </w:p>
    <w:p>
      <w:pPr>
        <w:spacing w:line="360" w:lineRule="auto" w:after="120"/>
      </w:pPr>
      <w:r/>
    </w:p>
    <w:p>
      <w:pPr>
        <w:spacing w:line="360" w:lineRule="auto" w:after="40"/>
      </w:pPr>
      <w:r>
        <w:t>8. 以下哪些风险因素通常与保险产品中的洗钱活动相关？(选择两项.) ( )</w:t>
      </w:r>
    </w:p>
    <w:p>
      <w:pPr>
        <w:spacing w:line="360" w:lineRule="auto" w:after="20"/>
        <w:ind w:firstLine="283"/>
      </w:pPr>
      <w:r>
        <w:t>A. 提前退保以变现资金</w:t>
      </w:r>
    </w:p>
    <w:p>
      <w:pPr>
        <w:spacing w:line="360" w:lineRule="auto" w:after="20"/>
        <w:ind w:firstLine="283"/>
      </w:pPr>
      <w:r>
        <w:t>B. 过度关注保险产品的投资表现</w:t>
      </w:r>
    </w:p>
    <w:p>
      <w:pPr>
        <w:spacing w:line="360" w:lineRule="auto" w:after="20"/>
        <w:ind w:firstLine="283"/>
      </w:pPr>
      <w:r>
        <w:t>C. 使用信用卡购买保险单</w:t>
      </w:r>
    </w:p>
    <w:p>
      <w:pPr>
        <w:spacing w:line="360" w:lineRule="auto" w:after="20"/>
        <w:ind w:firstLine="283"/>
      </w:pPr>
      <w:r>
        <w:t>D. 使用加密货币或其他非法定货币为保险单提供资金</w:t>
      </w:r>
    </w:p>
    <w:p>
      <w:pPr>
        <w:spacing w:line="360" w:lineRule="auto" w:after="40"/>
      </w:pPr>
      <w:r>
        <w:t>答案:A、B</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识别保险产品洗钱的风险指标与红旗信号</w:t>
      </w:r>
    </w:p>
    <w:p>
      <w:pPr>
        <w:spacing w:before="120" w:after="40"/>
      </w:pPr>
      <w:r>
        <w:rPr>
          <w:b/>
          <w:sz w:val="21"/>
          <w:shd w:fill="D6E4F0" w:val="clear"/>
        </w:rPr>
        <w:t>核心解析</w:t>
      </w:r>
    </w:p>
    <w:p>
      <w:pPr>
        <w:spacing w:line="360" w:lineRule="auto" w:after="40"/>
        <w:ind w:firstLine="420"/>
      </w:pPr>
      <w:r>
        <w:t>投资连结保险（ILI）和高价值人寿保单因其高现金价值或灵活缴费选项，属于高风险产品，可能被滥用以掩盖资金来源</w:t>
      </w:r>
      <w:r>
        <w:rPr>
          <w:sz w:val="15"/>
          <w:vertAlign w:val="superscript"/>
        </w:rPr>
        <w:t>P101</w:t>
      </w:r>
      <w:r>
        <w:t>。教材列举的典型洗钱手法包括：大额且不规律的保费支付、提前退保套现、以及由无关第三方代付保费</w:t>
      </w:r>
      <w:r>
        <w:rPr>
          <w:sz w:val="15"/>
          <w:vertAlign w:val="superscript"/>
        </w:rPr>
        <w:t>P101</w:t>
      </w:r>
      <w:r>
        <w:t>。保险洗钱的红旗信号具体涵盖冷静期后提前退保、第三方超额支付保费和早期现金退保等行为</w:t>
      </w:r>
      <w:r>
        <w:rPr>
          <w:sz w:val="15"/>
          <w:vertAlign w:val="superscript"/>
        </w:rPr>
        <w:t>P101</w:t>
      </w:r>
      <w:r>
        <w:t>。选项A“提前退保以变现资金”直接命中教材列举的“早期现金退保”这一红旗信号，是犯罪分子将非法资金混入保险产品后快速套现的典型融合阶段手法。选项B“过度关注保险产品的投资表现”则直接指向教材关于投资连结保险相关风险的事实陈述——高额人寿保险和投资连结保单本身即为高风险产品</w:t>
      </w:r>
      <w:r>
        <w:rPr>
          <w:sz w:val="15"/>
          <w:vertAlign w:val="superscript"/>
        </w:rPr>
        <w:t>P101</w:t>
      </w:r>
      <w:r>
        <w:t>，犯罪分子利用此类产品时往往更关注其投资回报和套现潜力，而非保险保障功能，这一异常关注行为构成重要的行为风险指标。两者均属于教材明确列举的保险领域洗钱风险因素。</w:t>
      </w:r>
    </w:p>
    <w:p>
      <w:pPr>
        <w:spacing w:before="120" w:after="40"/>
      </w:pPr>
      <w:r>
        <w:rPr>
          <w:b/>
          <w:sz w:val="21"/>
          <w:shd w:fill="D6E4F0" w:val="clear"/>
        </w:rPr>
        <w:t>教材原句</w:t>
      </w:r>
    </w:p>
    <w:p>
      <w:pPr>
        <w:spacing w:line="360" w:lineRule="auto" w:after="40"/>
        <w:ind w:firstLine="420"/>
      </w:pPr>
      <w:r>
        <w:t>"Criminals might exploit these products by making large, irregular premium payments, cashing out policies prematurely, or having an unrelated third party make the payments for the policy itself."</w:t>
      </w:r>
    </w:p>
    <w:p>
      <w:pPr>
        <w:spacing w:before="120" w:after="40"/>
      </w:pPr>
      <w:r>
        <w:rPr>
          <w:b/>
          <w:sz w:val="21"/>
          <w:shd w:fill="D6E4F0" w:val="clear"/>
        </w:rPr>
        <w:t>C项错误</w:t>
      </w:r>
    </w:p>
    <w:p>
      <w:pPr>
        <w:spacing w:line="360" w:lineRule="auto" w:after="40"/>
        <w:ind w:firstLine="420"/>
      </w:pPr>
      <w:r>
        <w:t>教材指出信用卡在洗钱中更多用于离析和融合阶段，而非保险产品的典型滥用渠道</w:t>
      </w:r>
      <w:r>
        <w:rPr>
          <w:sz w:val="15"/>
          <w:vertAlign w:val="superscript"/>
        </w:rPr>
        <w:t>P69</w:t>
      </w:r>
      <w:r>
        <w:t>。与正确项相比，使用信用卡购买保单的行为在教材保险章节中未被列为风险指标，而提前退保和过度关注投资表现则是教材直接列举的保险洗钱红旗信号，匹配度更高。</w:t>
      </w:r>
    </w:p>
    <w:p>
      <w:pPr>
        <w:spacing w:before="120" w:after="40"/>
      </w:pPr>
      <w:r>
        <w:rPr>
          <w:b/>
          <w:sz w:val="21"/>
          <w:shd w:fill="D6E4F0" w:val="clear"/>
        </w:rPr>
        <w:t>D项错误</w:t>
      </w:r>
    </w:p>
    <w:p>
      <w:pPr>
        <w:spacing w:line="360" w:lineRule="auto" w:after="40"/>
        <w:ind w:firstLine="420"/>
      </w:pPr>
      <w:r>
        <w:t>加密货币确实可被用于资金分层以增加追踪难度</w:t>
      </w:r>
      <w:r>
        <w:rPr>
          <w:sz w:val="15"/>
          <w:vertAlign w:val="superscript"/>
        </w:rPr>
        <w:t>P39</w:t>
      </w:r>
      <w:r>
        <w:t>，但教材在专述保险产品洗钱风险的章节（P101-103）并未将加密货币支付列为常见的保险洗钱方式。相比之下，A和B涉及的行为是教材第101页直接列出的保险领域核心风险指标，与题干考查的“保险产品洗钱活动”匹配度更直接。</w:t>
      </w:r>
    </w:p>
    <w:p>
      <w:pPr>
        <w:spacing w:before="120" w:after="40"/>
      </w:pPr>
      <w:r>
        <w:rPr>
          <w:b/>
          <w:sz w:val="21"/>
          <w:shd w:fill="D6E4F0" w:val="clear"/>
        </w:rPr>
        <w:t>易错提醒</w:t>
      </w:r>
    </w:p>
    <w:p>
      <w:pPr>
        <w:spacing w:line="360" w:lineRule="auto" w:after="40"/>
        <w:ind w:firstLine="420"/>
      </w:pPr>
      <w:r>
        <w:t>提前退保本身不一定就是洗钱行为——教材强调需结合其他红旗信号综合判断。例如：投保后迅速退保、退保金额异常、或退保方式无合理经济逻辑时，才构成可疑指标</w:t>
      </w:r>
      <w:r>
        <w:rPr>
          <w:sz w:val="15"/>
          <w:vertAlign w:val="superscript"/>
        </w:rPr>
        <w:t>P101</w:t>
      </w:r>
      <w:r>
        <w:t>。日常零基础理解中容易将所有提前退保都等同洗钱，但教材中的风险指标强调的是行为的组合模式而非单一动作。</w:t>
      </w:r>
    </w:p>
    <w:p>
      <w:pPr>
        <w:spacing w:line="360" w:lineRule="auto" w:after="120"/>
      </w:pPr>
      <w:r/>
    </w:p>
    <w:p>
      <w:pPr>
        <w:spacing w:line="360" w:lineRule="auto" w:after="40"/>
      </w:pPr>
      <w:r>
        <w:t>9. 以下哪些是证券行业可能存在的洗钱迹象？（选择两项。） ( )</w:t>
      </w:r>
    </w:p>
    <w:p>
      <w:pPr>
        <w:spacing w:line="360" w:lineRule="auto" w:after="20"/>
        <w:ind w:firstLine="283"/>
      </w:pPr>
      <w:r>
        <w:t>A. 将经纪账户当作存款账户来使用。</w:t>
      </w:r>
    </w:p>
    <w:p>
      <w:pPr>
        <w:spacing w:line="360" w:lineRule="auto" w:after="20"/>
        <w:ind w:firstLine="283"/>
      </w:pPr>
      <w:r>
        <w:t>B. 配偶去世后将证券转入现有经纪账户。</w:t>
      </w:r>
    </w:p>
    <w:p>
      <w:pPr>
        <w:spacing w:line="360" w:lineRule="auto" w:after="20"/>
        <w:ind w:firstLine="283"/>
      </w:pPr>
      <w:r>
        <w:t>C. 允许固定收益证券到期。</w:t>
      </w:r>
    </w:p>
    <w:p>
      <w:pPr>
        <w:spacing w:line="360" w:lineRule="auto" w:after="20"/>
        <w:ind w:firstLine="283"/>
      </w:pPr>
      <w:r>
        <w:t>D. 与代名人或第三方进行交易。</w:t>
      </w:r>
    </w:p>
    <w:p>
      <w:pPr>
        <w:spacing w:line="360" w:lineRule="auto" w:after="40"/>
      </w:pPr>
      <w:r>
        <w:t>答案:A、D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识别证券行业中将账户功能异化及借助第三方隐匿所有权的洗钱迹象</w:t>
      </w:r>
    </w:p>
    <w:p>
      <w:pPr>
        <w:spacing w:before="120" w:after="40"/>
      </w:pPr>
      <w:r>
        <w:rPr>
          <w:b/>
          <w:sz w:val="21"/>
          <w:shd w:fill="D6E4F0" w:val="clear"/>
        </w:rPr>
        <w:t>核心解析</w:t>
      </w:r>
    </w:p>
    <w:p>
      <w:pPr>
        <w:spacing w:line="360" w:lineRule="auto" w:after="40"/>
        <w:ind w:firstLine="420"/>
      </w:pPr>
      <w:r>
        <w:t>证券业在洗钱的离析阶段和融合阶段尤其脆弱</w:t>
      </w:r>
      <w:r>
        <w:rPr>
          <w:sz w:val="15"/>
          <w:vertAlign w:val="superscript"/>
        </w:rPr>
        <w:t>P104</w:t>
      </w:r>
      <w:r>
        <w:t>。将经纪账户当作存款账户使用，属于对账户功能的异常异化——经纪账户本用于投资交易，却被用来存放、转移资金而不实际投资，这可能使非法资金在融合阶段混入合法金融体系。与代名人或第三方进行交易，则利用第三方身份隐藏资产的真实所有权，使得识别受益所有人变得困难，固有洗钱风险，尤其涉及壳公司或名义账户</w:t>
      </w:r>
      <w:r>
        <w:rPr>
          <w:sz w:val="15"/>
          <w:vertAlign w:val="superscript"/>
        </w:rPr>
        <w:t>P106</w:t>
      </w:r>
      <w:r>
        <w:t>。这两项行为均偏离了证券账户的正常使用模式，在教材框架下直接对应证券行业已知的洗钱风险表现。</w:t>
      </w:r>
    </w:p>
    <w:p>
      <w:pPr>
        <w:spacing w:before="120" w:after="40"/>
      </w:pPr>
      <w:r>
        <w:rPr>
          <w:b/>
          <w:sz w:val="21"/>
          <w:shd w:fill="D6E4F0" w:val="clear"/>
        </w:rPr>
        <w:t>教材原句</w:t>
      </w:r>
    </w:p>
    <w:p>
      <w:pPr>
        <w:spacing w:line="360" w:lineRule="auto" w:after="40"/>
        <w:ind w:firstLine="420"/>
      </w:pPr>
      <w:r>
        <w:t>"This sector is particularly vulnerable during the layering and integration stages of money laundering."</w:t>
      </w:r>
    </w:p>
    <w:p>
      <w:pPr>
        <w:spacing w:before="120" w:after="40"/>
      </w:pPr>
      <w:r>
        <w:rPr>
          <w:b/>
          <w:sz w:val="21"/>
          <w:shd w:fill="D6E4F0" w:val="clear"/>
        </w:rPr>
        <w:t>B项错误</w:t>
      </w:r>
    </w:p>
    <w:p>
      <w:pPr>
        <w:spacing w:line="360" w:lineRule="auto" w:after="40"/>
        <w:ind w:firstLine="420"/>
      </w:pPr>
      <w:r>
        <w:t>配偶去世后将证券转入现有经纪账户，属于常见的遗产继承或资产整理行为，具备合理的家庭事件背景，题干未显示任何异常交易模式或刻意规避监控的特征。相比之下，选项A和D描述的行为直接偏离了证券账户的正常商业用途，更吻合教材对证券行业洗钱风险的界定。</w:t>
      </w:r>
    </w:p>
    <w:p>
      <w:pPr>
        <w:spacing w:before="120" w:after="40"/>
      </w:pPr>
      <w:r>
        <w:rPr>
          <w:b/>
          <w:sz w:val="21"/>
          <w:shd w:fill="D6E4F0" w:val="clear"/>
        </w:rPr>
        <w:t>C项错误</w:t>
      </w:r>
    </w:p>
    <w:p>
      <w:pPr>
        <w:spacing w:line="360" w:lineRule="auto" w:after="40"/>
        <w:ind w:firstLine="420"/>
      </w:pPr>
      <w:r>
        <w:t>允许固定收益证券到期是投资者持有债券至到期日的标准操作，无需采取任何主动交易行为，更没有利用账户功能异化或第三方隐匿所有权的元素。相对于正确项，这种行为缺乏洗钱所需的异常性或隐蔽性特征。</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