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CH04</w:t>
      </w:r>
    </w:p>
    <w:p>
      <w:pPr>
        <w:spacing w:line="360" w:lineRule="auto" w:after="160"/>
      </w:pPr>
      <w:r>
        <w:t>一、单项选择题</w:t>
      </w:r>
    </w:p>
    <w:p>
      <w:pPr>
        <w:spacing w:line="360" w:lineRule="auto" w:after="40"/>
      </w:pPr>
      <w:r>
        <w:t>1. 一名客户经常向一个网络赌博账户存入大笔现金,并在存入不久后就提出取款请求,期间赌博活动极少.在博彩和游戏行业中,这种行为最有可能带来哪种洗钱风险？ ( )</w:t>
      </w:r>
    </w:p>
    <w:p>
      <w:pPr>
        <w:spacing w:line="360" w:lineRule="auto" w:after="20"/>
        <w:ind w:firstLine="283"/>
      </w:pPr>
      <w:r>
        <w:t>A. 该客户正试图将非法资金转换为合法的取款.</w:t>
      </w:r>
    </w:p>
    <w:p>
      <w:pPr>
        <w:spacing w:line="360" w:lineRule="auto" w:after="20"/>
        <w:ind w:firstLine="283"/>
      </w:pPr>
      <w:r>
        <w:t>B. 该客户试图通过减少赌博活动来避免高额费用.</w:t>
      </w:r>
    </w:p>
    <w:p>
      <w:pPr>
        <w:spacing w:line="360" w:lineRule="auto" w:after="20"/>
        <w:ind w:firstLine="283"/>
      </w:pPr>
      <w:r>
        <w:t>C. 该客户正在测试游戏平台的支付系统以排查是否存在欺诈行为.</w:t>
      </w:r>
    </w:p>
    <w:p>
      <w:pPr>
        <w:spacing w:line="360" w:lineRule="auto" w:after="20"/>
        <w:ind w:firstLine="283"/>
      </w:pPr>
      <w:r>
        <w:t>D. 该客户是一名高风险赌徒,经常下大注.</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识别博彩场景中以极少赌博活动清洗非法资金的筹码转换风险</w:t>
      </w:r>
    </w:p>
    <w:p>
      <w:pPr>
        <w:spacing w:before="120" w:after="40"/>
      </w:pPr>
      <w:r>
        <w:rPr>
          <w:b/>
          <w:sz w:val="21"/>
          <w:shd w:fill="D6E4F0" w:val="clear"/>
        </w:rPr>
        <w:t>核心解析</w:t>
      </w:r>
    </w:p>
    <w:p>
      <w:pPr>
        <w:spacing w:line="360" w:lineRule="auto" w:after="40"/>
        <w:ind w:firstLine="420"/>
      </w:pPr>
      <w:r>
        <w:t>博彩业面临的一种典型洗钱手法是，犯罪分子用非法资金匿名购买筹码，仅进行极少赌博活动，便兑换筹码套现，从而将非法资金“洗白”为看似合法的取款</w:t>
      </w:r>
      <w:r>
        <w:rPr>
          <w:sz w:val="15"/>
          <w:vertAlign w:val="superscript"/>
        </w:rPr>
        <w:t>P120</w:t>
      </w:r>
      <w:r>
        <w:t>。题干中客户的行为——“经常向网络赌博账户存入大笔现金”“存入不久后就提出取款请求”“赌博活动极少”——完全吻合上述描述。这一模式的核心风险并非逃避费用、系统测试或个人博彩习惯，而是利用极少量博彩活动作为掩护，实现资金性质的转换。教材在描述该风险时，直接使用的用语是“将非法资金转换为筹码，进行极少赌博，然后兑现”</w:t>
      </w:r>
      <w:r>
        <w:rPr>
          <w:sz w:val="15"/>
          <w:vertAlign w:val="superscript"/>
        </w:rPr>
        <w:t>P120</w:t>
      </w:r>
      <w:r>
        <w:t>，这与选项 A“试图将非法资金转换为合法的取款”在内涵上高度一致。</w:t>
      </w:r>
    </w:p>
    <w:p>
      <w:pPr>
        <w:spacing w:before="120" w:after="40"/>
      </w:pPr>
      <w:r>
        <w:rPr>
          <w:b/>
          <w:sz w:val="21"/>
          <w:shd w:fill="D6E4F0" w:val="clear"/>
        </w:rPr>
        <w:t>教材原句</w:t>
      </w:r>
    </w:p>
    <w:p>
      <w:pPr>
        <w:spacing w:line="360" w:lineRule="auto" w:after="40"/>
        <w:ind w:firstLine="420"/>
      </w:pPr>
      <w:r>
        <w:t>"both casinos and online operators are vulnerable to many forms of money laundering, such as customers converting illicit funds into chips, engaging in minimal play, and using falsified documents to open multiple accounts."</w:t>
      </w:r>
    </w:p>
    <w:p>
      <w:pPr>
        <w:spacing w:before="120" w:after="40"/>
      </w:pPr>
      <w:r>
        <w:rPr>
          <w:b/>
          <w:sz w:val="21"/>
          <w:shd w:fill="D6E4F0" w:val="clear"/>
        </w:rPr>
        <w:t>B项错误</w:t>
      </w:r>
    </w:p>
    <w:p>
      <w:pPr>
        <w:spacing w:line="360" w:lineRule="auto" w:after="40"/>
        <w:ind w:firstLine="420"/>
      </w:pPr>
      <w:r>
        <w:t>选项提及“减少赌博活动”，表面看与题干“赌博活动极少”在字面上有交集，但教材在讨论博彩业特定洗钱风险时，是将“极少赌博活动”作为洗钱手法的一环来定义</w:t>
      </w:r>
      <w:r>
        <w:rPr>
          <w:sz w:val="15"/>
          <w:vertAlign w:val="superscript"/>
        </w:rPr>
        <w:t>P120</w:t>
      </w:r>
      <w:r>
        <w:t>，而非出于费用考量的商业行为。题干并未提及任何与费用相关的信息，相比之下，正确项更直接地对接了教材对博彩洗钱手法的专门定义。</w:t>
      </w:r>
    </w:p>
    <w:p>
      <w:pPr>
        <w:spacing w:before="120" w:after="40"/>
      </w:pPr>
      <w:r>
        <w:rPr>
          <w:b/>
          <w:sz w:val="21"/>
          <w:shd w:fill="D6E4F0" w:val="clear"/>
        </w:rPr>
        <w:t>C项错误</w:t>
      </w:r>
    </w:p>
    <w:p>
      <w:pPr>
        <w:spacing w:line="360" w:lineRule="auto" w:after="40"/>
        <w:ind w:firstLine="420"/>
      </w:pPr>
      <w:r>
        <w:t>选项描述的是对平台系统进行技术性或欺诈性探测的行为。题干所提供的信息——“存入大笔现金”并“随后提出取款请求”——在教材框架下更吻合博彩业洗钱风险中“筹码转换、极少赌博、兑现”的完整链条</w:t>
      </w:r>
      <w:r>
        <w:rPr>
          <w:sz w:val="15"/>
          <w:vertAlign w:val="superscript"/>
        </w:rPr>
        <w:t>P120</w:t>
      </w:r>
      <w:r>
        <w:t>，而非对支付系统本身的安全测试。题干未提供任何倾向于“测试欺诈漏洞”的要素。</w:t>
      </w:r>
    </w:p>
    <w:p>
      <w:pPr>
        <w:spacing w:before="120" w:after="40"/>
      </w:pPr>
      <w:r>
        <w:rPr>
          <w:b/>
          <w:sz w:val="21"/>
          <w:shd w:fill="D6E4F0" w:val="clear"/>
        </w:rPr>
        <w:t>D项错误</w:t>
      </w:r>
    </w:p>
    <w:p>
      <w:pPr>
        <w:spacing w:line="360" w:lineRule="auto" w:after="40"/>
        <w:ind w:firstLine="420"/>
      </w:pPr>
      <w:r>
        <w:t>选项将客户描述为“经常下大注”的高风险赌徒，这与题干“赌博活动极少”的事实直接冲突。教材中描述的博彩洗钱模式恰恰是利用“极少赌博”（engaging in minimal play）作为掩护</w:t>
      </w:r>
      <w:r>
        <w:rPr>
          <w:sz w:val="15"/>
          <w:vertAlign w:val="superscript"/>
        </w:rPr>
        <w:t>P120</w:t>
      </w:r>
      <w:r>
        <w:t>，因此，在教材框架下，题干条件指向洗钱风险而非真实的博彩习惯。</w:t>
      </w:r>
    </w:p>
    <w:p>
      <w:pPr>
        <w:spacing w:before="120" w:after="40"/>
      </w:pPr>
      <w:r>
        <w:rPr>
          <w:b/>
          <w:sz w:val="21"/>
          <w:shd w:fill="D6E4F0" w:val="clear"/>
        </w:rPr>
        <w:t>易错提醒</w:t>
      </w:r>
    </w:p>
    <w:p>
      <w:pPr>
        <w:spacing w:line="360" w:lineRule="auto" w:after="40"/>
        <w:ind w:firstLine="420"/>
      </w:pPr>
      <w:r>
        <w:t>“极少赌博活动”在反洗钱语境下，不是出于费用或个人偏好的商业决策，而是将非法资金混入博彩系统时，刻意避免因真实博彩行为产生额外输赢、从而快速实现资金“清洗”的核心表征。若题干未出现“大笔现金”“存入不久后取款”等关键要素，单纯的“极少赌博”本身尚不足以直接锁定洗钱风险。</w:t>
      </w:r>
    </w:p>
    <w:p>
      <w:pPr>
        <w:spacing w:line="360" w:lineRule="auto" w:after="120"/>
      </w:pPr>
      <w:r/>
    </w:p>
    <w:p>
      <w:pPr>
        <w:spacing w:line="360" w:lineRule="auto" w:after="40"/>
      </w:pPr>
      <w:r>
        <w:t>2. 一家房地产投资公司的所有者在三个月内分多次存入用现金购买的多张银行本票,这些本票来自两套公寓的销售所得.该账户还收到了来自其他金融机构的几笔每笔1万美元的电子转账.哪些活动被视为洗钱的可疑行为？ ( )</w:t>
      </w:r>
    </w:p>
    <w:p>
      <w:pPr>
        <w:spacing w:line="360" w:lineRule="auto" w:after="20"/>
        <w:ind w:firstLine="283"/>
      </w:pPr>
      <w:r>
        <w:t>A. 接收来自其他金融机构的10,000美元金额的电子转账</w:t>
      </w:r>
    </w:p>
    <w:p>
      <w:pPr>
        <w:spacing w:line="360" w:lineRule="auto" w:after="20"/>
        <w:ind w:firstLine="283"/>
      </w:pPr>
      <w:r>
        <w:t>B. 在一段时间内用现金购买多张银行本票</w:t>
      </w:r>
    </w:p>
    <w:p>
      <w:pPr>
        <w:spacing w:line="360" w:lineRule="auto" w:after="20"/>
        <w:ind w:firstLine="283"/>
      </w:pPr>
      <w:r>
        <w:t>C. 与房地产投资公司开展业务操作</w:t>
      </w:r>
    </w:p>
    <w:p>
      <w:pPr>
        <w:spacing w:line="360" w:lineRule="auto" w:after="20"/>
        <w:ind w:firstLine="283"/>
      </w:pPr>
      <w:r>
        <w:t>D. 银行本票</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房地产交易中以现金购买支付工具的可疑特征识别</w:t>
      </w:r>
    </w:p>
    <w:p>
      <w:pPr>
        <w:spacing w:before="120" w:after="40"/>
      </w:pPr>
      <w:r>
        <w:rPr>
          <w:b/>
          <w:sz w:val="21"/>
          <w:shd w:fill="D6E4F0" w:val="clear"/>
        </w:rPr>
        <w:t>核心解析</w:t>
      </w:r>
    </w:p>
    <w:p>
      <w:pPr>
        <w:spacing w:line="360" w:lineRule="auto" w:after="40"/>
        <w:ind w:firstLine="420"/>
      </w:pPr>
      <w:r>
        <w:t>现金交易因难以追踪而增加洗钱风险</w:t>
      </w:r>
      <w:r>
        <w:rPr>
          <w:sz w:val="15"/>
          <w:vertAlign w:val="superscript"/>
        </w:rPr>
        <w:t>P122</w:t>
      </w:r>
      <w:r>
        <w:t>，在房地产领域，全部或主要使用现金支付是一个红旗信号</w:t>
      </w:r>
      <w:r>
        <w:rPr>
          <w:sz w:val="15"/>
          <w:vertAlign w:val="superscript"/>
        </w:rPr>
        <w:t>P122</w:t>
      </w:r>
      <w:r>
        <w:t>，同时“大额现金购买缺乏明确资金来源”也构成可疑</w:t>
      </w:r>
      <w:r>
        <w:rPr>
          <w:sz w:val="15"/>
          <w:vertAlign w:val="superscript"/>
        </w:rPr>
        <w:t>P128</w:t>
      </w:r>
      <w:r>
        <w:t>。题干中，房地产投资公司所有者在三个月内多次用现金购买多张银行本票，虽然声称来自公寓销售，但这一行为将现金转化为支付工具，呈现出现金密集的可疑模式，直接吻合教材中的风险指示。相比之下，电子转账来自其他金融机构，有迹可循，现金的隐匿特征使得选项B的活动更直接地指向洗钱的可疑行为。</w:t>
      </w:r>
    </w:p>
    <w:p>
      <w:pPr>
        <w:spacing w:before="120" w:after="40"/>
      </w:pPr>
      <w:r>
        <w:rPr>
          <w:b/>
          <w:sz w:val="21"/>
          <w:shd w:fill="D6E4F0" w:val="clear"/>
        </w:rPr>
        <w:t>教材原句</w:t>
      </w:r>
    </w:p>
    <w:p>
      <w:pPr>
        <w:spacing w:line="360" w:lineRule="auto" w:after="40"/>
        <w:ind w:firstLine="420"/>
      </w:pPr>
      <w:r>
        <w:t>"Red flags include buyers who pay entirely or primarily in cash, particularly in regions where bank financing is the norm."</w:t>
      </w:r>
    </w:p>
    <w:p>
      <w:pPr>
        <w:spacing w:before="120" w:after="40"/>
      </w:pPr>
      <w:r>
        <w:rPr>
          <w:b/>
          <w:sz w:val="21"/>
          <w:shd w:fill="D6E4F0" w:val="clear"/>
        </w:rPr>
        <w:t>A项错误</w:t>
      </w:r>
    </w:p>
    <w:p>
      <w:pPr>
        <w:spacing w:line="360" w:lineRule="auto" w:after="40"/>
        <w:ind w:firstLine="420"/>
      </w:pPr>
      <w:r>
        <w:t>电子转账通过金融机构完成，有清晰审计痕迹，风险程度远低于现金交易。题干仅述及“来自其他金融机构的几笔每笔1万美元的电子转账”，未显示规避报告阈值的行为，其可疑性不如用现金购买银行本票那样直接匹配教材对现金风险的红旗信号。</w:t>
      </w:r>
    </w:p>
    <w:p>
      <w:pPr>
        <w:spacing w:before="120" w:after="40"/>
      </w:pPr>
      <w:r>
        <w:rPr>
          <w:b/>
          <w:sz w:val="21"/>
          <w:shd w:fill="D6E4F0" w:val="clear"/>
        </w:rPr>
        <w:t>C项错误</w:t>
      </w:r>
    </w:p>
    <w:p>
      <w:pPr>
        <w:spacing w:line="360" w:lineRule="auto" w:after="40"/>
        <w:ind w:firstLine="420"/>
      </w:pPr>
      <w:r>
        <w:t>与房地产投资公司开展业务操作本身是合法商业行为，教材并未将公司主体身份直接视为可疑。题干未描述任何异常操作模式（如复杂所有权结构或缺乏经济理由的贷款），因此该选项较选项B缺乏与洗钱风险的直接关联。</w:t>
      </w:r>
    </w:p>
    <w:p>
      <w:pPr>
        <w:spacing w:before="120" w:after="40"/>
      </w:pPr>
      <w:r>
        <w:rPr>
          <w:b/>
          <w:sz w:val="21"/>
          <w:shd w:fill="D6E4F0" w:val="clear"/>
        </w:rPr>
        <w:t>D项错误</w:t>
      </w:r>
    </w:p>
    <w:p>
      <w:pPr>
        <w:spacing w:line="360" w:lineRule="auto" w:after="40"/>
        <w:ind w:firstLine="420"/>
      </w:pPr>
      <w:r>
        <w:t>银行本票是一种支付工具，教材中可疑的是利用现金购买此类工具的行为而非工具本身。选项D仅指称工具，未体现交易方式，与题干以现金多次购买的描述不匹配。</w:t>
      </w:r>
    </w:p>
    <w:p>
      <w:pPr>
        <w:spacing w:before="120" w:after="40"/>
      </w:pPr>
      <w:r>
        <w:rPr>
          <w:b/>
          <w:sz w:val="21"/>
          <w:shd w:fill="D6E4F0" w:val="clear"/>
        </w:rPr>
        <w:t>易错提醒</w:t>
      </w:r>
    </w:p>
    <w:p>
      <w:pPr>
        <w:spacing w:line="360" w:lineRule="auto" w:after="40"/>
        <w:ind w:firstLine="420"/>
      </w:pPr>
      <w:r>
        <w:t>现金购买银行本票容易被误判为“结构化”，但结构化指将现金存款刻意拆分为略低于报告门槛的金额（例如多次存入9900美元，P445）。题干未给出每张银行本票的具体金额，无法套用结构化判断。本题的可疑性根植于现金固有的难以追踪风险，而非结构化手法。</w:t>
      </w:r>
    </w:p>
    <w:p>
      <w:pPr>
        <w:spacing w:line="360" w:lineRule="auto" w:after="120"/>
      </w:pPr>
      <w:r/>
    </w:p>
    <w:p>
      <w:pPr>
        <w:spacing w:line="360" w:lineRule="auto" w:after="40"/>
      </w:pPr>
      <w:r>
        <w:t>3. 一家律师事务所为一位客户设立复杂的离岸公司架构,但客户的交易,也不报告任何可疑活动.该律师事务所的这种行为主要存在何种洗钱风险？ ( )</w:t>
      </w:r>
    </w:p>
    <w:p>
      <w:pPr>
        <w:spacing w:line="360" w:lineRule="auto" w:after="20"/>
        <w:ind w:firstLine="283"/>
      </w:pPr>
      <w:r>
        <w:t>A. 该律师事务所通过尽量减少高风险司法管辖区客户的文件来规避费用.</w:t>
      </w:r>
    </w:p>
    <w:p>
      <w:pPr>
        <w:spacing w:line="360" w:lineRule="auto" w:after="20"/>
        <w:ind w:firstLine="283"/>
      </w:pPr>
      <w:r>
        <w:t>B. 该律师事务所正在积极进行税务筹划,以帮助客户合法避税.</w:t>
      </w:r>
    </w:p>
    <w:p>
      <w:pPr>
        <w:spacing w:line="360" w:lineRule="auto" w:after="20"/>
        <w:ind w:firstLine="283"/>
      </w:pPr>
      <w:r>
        <w:t>C. 该律师事务所提供的是常规法律服务,其中包括构建复杂的法律架构,无需进一步审查.</w:t>
      </w:r>
    </w:p>
    <w:p>
      <w:pPr>
        <w:spacing w:line="360" w:lineRule="auto" w:after="20"/>
        <w:ind w:firstLine="283"/>
      </w:pPr>
      <w:r>
        <w:t>D. 该律师事务所充当着看门人的角色,通过复杂的公司架构为非法资金的转移和隐匿提供便利.</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识别律师事务所作为“守门人”所面临的洗钱风险</w:t>
      </w:r>
    </w:p>
    <w:p>
      <w:pPr>
        <w:spacing w:before="120" w:after="40"/>
      </w:pPr>
      <w:r>
        <w:rPr>
          <w:b/>
          <w:sz w:val="21"/>
          <w:shd w:fill="D6E4F0" w:val="clear"/>
        </w:rPr>
        <w:t>核心解析</w:t>
      </w:r>
    </w:p>
    <w:p>
      <w:pPr>
        <w:spacing w:line="360" w:lineRule="auto" w:after="40"/>
        <w:ind w:firstLine="420"/>
      </w:pPr>
      <w:r>
        <w:t>法律行业因律师在管理金融交易、提供法律建议及了解客户方面扮演关键角色，而面临显著的洗钱风险</w:t>
      </w:r>
      <w:r>
        <w:rPr>
          <w:sz w:val="15"/>
          <w:vertAlign w:val="superscript"/>
        </w:rPr>
        <w:t>P125</w:t>
      </w:r>
      <w:r>
        <w:t>。犯罪分子常利用法律专业人士的服务来隐藏非法资金、促成欺诈性交易或以掩盖资金来源的方式构建交易。教材进一步指出，律师可能协助设立如信托或壳公司等复杂结构，这些结构可隐藏真正受益人的身份</w:t>
      </w:r>
      <w:r>
        <w:rPr>
          <w:sz w:val="15"/>
          <w:vertAlign w:val="superscript"/>
        </w:rPr>
        <w:t>P119</w:t>
      </w:r>
      <w:r>
        <w:t>。题干中，律师事务所为客户设立复杂的离岸公司架构，对资金来源文件记录极少，且不质疑交易或报告可疑活动。这一行为模式直接吻合教材所描述的律师作为“守门人”被犯罪分子利用，通过复杂公司架构为非法资金的转移和隐匿提供便利的风险场景。</w:t>
      </w:r>
    </w:p>
    <w:p>
      <w:pPr>
        <w:spacing w:before="120" w:after="40"/>
      </w:pPr>
      <w:r>
        <w:rPr>
          <w:b/>
          <w:sz w:val="21"/>
          <w:shd w:fill="D6E4F0" w:val="clear"/>
        </w:rPr>
        <w:t>A项错误</w:t>
      </w:r>
    </w:p>
    <w:p>
      <w:pPr>
        <w:spacing w:line="360" w:lineRule="auto" w:after="40"/>
        <w:ind w:firstLine="420"/>
      </w:pPr>
      <w:r>
        <w:t>选项A将行为动机归结为“规避费用”，但题干并未提及律师事务所的收费行为或其与高风险司法管辖区客户之间的费用安排，缺乏支持这一判断的要素。相比之下，选项D更直接地指向了利用复杂结构隐藏非法资金这一洗钱风险的核心特征。</w:t>
      </w:r>
    </w:p>
    <w:p>
      <w:pPr>
        <w:spacing w:before="120" w:after="40"/>
      </w:pPr>
      <w:r>
        <w:rPr>
          <w:b/>
          <w:sz w:val="21"/>
          <w:shd w:fill="D6E4F0" w:val="clear"/>
        </w:rPr>
        <w:t>B项错误</w:t>
      </w:r>
    </w:p>
    <w:p>
      <w:pPr>
        <w:spacing w:line="360" w:lineRule="auto" w:after="40"/>
        <w:ind w:firstLine="420"/>
      </w:pPr>
      <w:r>
        <w:t>教材定义避税（Tax avoidance）是合法减少税负的行为</w:t>
      </w:r>
      <w:r>
        <w:rPr>
          <w:sz w:val="15"/>
          <w:vertAlign w:val="superscript"/>
        </w:rPr>
        <w:t>P28</w:t>
      </w:r>
      <w:r>
        <w:t>，而题干并未提供任何信息表明该客户的资金本身是合法的，也未说明此举是为了税务目的。本题的核心关注点是资金通过复杂结构被转移和隐匿的风险，与“合法避税”的语境不符，选项D更吻合教材对非法资金转移路径的描述。</w:t>
      </w:r>
    </w:p>
    <w:p>
      <w:pPr>
        <w:spacing w:before="120" w:after="40"/>
      </w:pPr>
      <w:r>
        <w:rPr>
          <w:b/>
          <w:sz w:val="21"/>
          <w:shd w:fill="D6E4F0" w:val="clear"/>
        </w:rPr>
        <w:t>C项错误</w:t>
      </w:r>
    </w:p>
    <w:p>
      <w:pPr>
        <w:spacing w:line="360" w:lineRule="auto" w:after="40"/>
        <w:ind w:firstLine="420"/>
      </w:pPr>
      <w:r>
        <w:t>教材明确将律师等特定非金融行业和职业（DNFBP）称为“守门人”</w:t>
      </w:r>
      <w:r>
        <w:rPr>
          <w:sz w:val="15"/>
          <w:vertAlign w:val="superscript"/>
        </w:rPr>
        <w:t>P119</w:t>
      </w:r>
      <w:r>
        <w:t>，并指出健全的反洗钱/反恐怖融资框架要求其在客户隐私与报告要求之间取得平衡，以遏制洗钱活动</w:t>
      </w:r>
      <w:r>
        <w:rPr>
          <w:sz w:val="15"/>
          <w:vertAlign w:val="superscript"/>
        </w:rPr>
        <w:t>P117</w:t>
      </w:r>
      <w:r>
        <w:t>。“无需进一步审查”的观点与教材对DNFBP需实施反洗钱/反恐怖融资控制措施的整体要求相悖，错误地将有洗钱风险的行为归为常规服务，选项D的“守门人”角色更准确地反映了教材中的风险评估。</w:t>
      </w:r>
    </w:p>
    <w:p>
      <w:pPr>
        <w:spacing w:before="120" w:after="40"/>
      </w:pPr>
      <w:r>
        <w:rPr>
          <w:b/>
          <w:sz w:val="21"/>
          <w:shd w:fill="D6E4F0" w:val="clear"/>
        </w:rPr>
        <w:t>易错提醒</w:t>
      </w:r>
    </w:p>
    <w:p>
      <w:pPr>
        <w:spacing w:line="360" w:lineRule="auto" w:after="40"/>
        <w:ind w:firstLine="420"/>
      </w:pPr>
      <w:r>
        <w:t>区分合法避税与洗钱风险：教材指出避税是合法的减少税负行为</w:t>
      </w:r>
      <w:r>
        <w:rPr>
          <w:sz w:val="15"/>
          <w:vertAlign w:val="superscript"/>
        </w:rPr>
        <w:t>P28</w:t>
      </w:r>
      <w:r>
        <w:t>，但本题的核心在于律所不审查资金来源、不报告可疑活动的消极行为，为客户利用复杂结构隐藏非法资金提供了便利，这直接对应教材对法律行业作为“守门人”所面临洗钱风险的描述</w:t>
      </w:r>
      <w:r>
        <w:rPr>
          <w:sz w:val="15"/>
          <w:vertAlign w:val="superscript"/>
        </w:rPr>
        <w:t>P125</w:t>
      </w:r>
      <w:r>
        <w:t>。判断关键在于客户资金是否涉及非法来源，而非行为本身的税务筹划功能。</w:t>
      </w:r>
    </w:p>
    <w:p>
      <w:pPr>
        <w:spacing w:line="360" w:lineRule="auto" w:after="120"/>
      </w:pPr>
      <w:r/>
    </w:p>
    <w:p>
      <w:pPr>
        <w:spacing w:line="360" w:lineRule="auto" w:after="40"/>
      </w:pPr>
      <w:r>
        <w:t>4. 诸如律师、会计师以及信托和公司服务提供商(TCSP)等职业有时被称为“看门人”,因为他们: ( )</w:t>
      </w:r>
    </w:p>
    <w:p>
      <w:pPr>
        <w:spacing w:line="360" w:lineRule="auto" w:after="20"/>
        <w:ind w:firstLine="283"/>
      </w:pPr>
      <w:r>
        <w:t>A. 往往不了解也不受反洗钱法律法规的约束,无意中让犯罪分子进入合法经济领域.</w:t>
      </w:r>
    </w:p>
    <w:p>
      <w:pPr>
        <w:spacing w:line="360" w:lineRule="auto" w:after="20"/>
        <w:ind w:firstLine="283"/>
      </w:pPr>
      <w:r>
        <w:t>B. 是进入金融体系的一个入口,也是防范非法资金渗入合法经济的第一道防线</w:t>
      </w:r>
    </w:p>
    <w:p>
      <w:pPr>
        <w:spacing w:line="360" w:lineRule="auto" w:after="20"/>
        <w:ind w:firstLine="283"/>
      </w:pPr>
      <w:r>
        <w:t>C. 根据所有司法管辖区的反洗钱法律法规,必须阻止任何犯罪分子将非法资金融入合法经济.</w:t>
      </w:r>
    </w:p>
    <w:p>
      <w:pPr>
        <w:spacing w:line="360" w:lineRule="auto" w:after="20"/>
        <w:ind w:firstLine="283"/>
      </w:pPr>
      <w:r>
        <w:t>D. 是高风险主体,他们可能故意让犯罪分子进入合法经济领域.</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“看门人”在反洗钱语境下的核心定义与功能</w:t>
      </w:r>
    </w:p>
    <w:p>
      <w:pPr>
        <w:spacing w:before="120" w:after="40"/>
      </w:pPr>
      <w:r>
        <w:rPr>
          <w:b/>
          <w:sz w:val="21"/>
          <w:shd w:fill="D6E4F0" w:val="clear"/>
        </w:rPr>
        <w:t>核心解析</w:t>
      </w:r>
    </w:p>
    <w:p>
      <w:pPr>
        <w:spacing w:line="360" w:lineRule="auto" w:after="40"/>
        <w:ind w:firstLine="420"/>
      </w:pPr>
      <w:r>
        <w:t>“看门人”指充当犯罪分子与金融系统之间中介的特定非金融行业或专业人士</w:t>
      </w:r>
      <w:r>
        <w:rPr>
          <w:sz w:val="15"/>
          <w:vertAlign w:val="superscript"/>
        </w:rPr>
        <w:t>P119</w:t>
      </w:r>
      <w:r>
        <w:t>。题干中的律师、会计师及信托与公司服务提供商均属此类，其角色本质上是进入金融体系的一个入口。由于它们处于非法资金尝试进入合法经济的前沿位置，因此构成防范非法资金渗透的第一道防线。选项B直接对应这一定义——既是“入口”也是“防线”——与教材描述完全吻合。</w:t>
      </w:r>
    </w:p>
    <w:p>
      <w:pPr>
        <w:spacing w:before="120" w:after="40"/>
      </w:pPr>
      <w:r>
        <w:rPr>
          <w:b/>
          <w:sz w:val="21"/>
          <w:shd w:fill="D6E4F0" w:val="clear"/>
        </w:rPr>
        <w:t>A项错误</w:t>
      </w:r>
    </w:p>
    <w:p>
      <w:pPr>
        <w:spacing w:line="360" w:lineRule="auto" w:after="40"/>
        <w:ind w:firstLine="420"/>
      </w:pPr>
      <w:r>
        <w:t>教材未表述看门人“不了解也不受反洗钱法规约束”。恰恰相反，教材指出看门人因缺乏保障措施时易被利用，但并非因其法律地位缺失，而是因其职能特性</w:t>
      </w:r>
      <w:r>
        <w:rPr>
          <w:sz w:val="15"/>
          <w:vertAlign w:val="superscript"/>
        </w:rPr>
        <w:t>P119</w:t>
      </w:r>
      <w:r>
        <w:t>。题干更支持看门人明知风险却处于防控位置，而非无意且不受约束。</w:t>
      </w:r>
    </w:p>
    <w:p>
      <w:pPr>
        <w:spacing w:before="120" w:after="40"/>
      </w:pPr>
      <w:r>
        <w:rPr>
          <w:b/>
          <w:sz w:val="21"/>
          <w:shd w:fill="D6E4F0" w:val="clear"/>
        </w:rPr>
        <w:t>C项错误</w:t>
      </w:r>
    </w:p>
    <w:p>
      <w:pPr>
        <w:spacing w:line="360" w:lineRule="auto" w:after="40"/>
        <w:ind w:firstLine="420"/>
      </w:pPr>
      <w:r>
        <w:t>教材提到部分离岸地区反洗钱法规薄弱</w:t>
      </w:r>
      <w:r>
        <w:rPr>
          <w:sz w:val="15"/>
          <w:vertAlign w:val="superscript"/>
        </w:rPr>
        <w:t>P127</w:t>
      </w:r>
      <w:r>
        <w:t>，说明并非“所有司法管辖区”都要求这些职业阻止洗钱。选项C的“所有司法管辖区”和“必须阻止”比正确项B的普遍性描述更绝对，与教材呈现的差异现实不符。</w:t>
      </w:r>
    </w:p>
    <w:p>
      <w:pPr>
        <w:spacing w:before="120" w:after="40"/>
      </w:pPr>
      <w:r>
        <w:rPr>
          <w:b/>
          <w:sz w:val="21"/>
          <w:shd w:fill="D6E4F0" w:val="clear"/>
        </w:rPr>
        <w:t>D项错误</w:t>
      </w:r>
    </w:p>
    <w:p>
      <w:pPr>
        <w:spacing w:line="360" w:lineRule="auto" w:after="40"/>
        <w:ind w:firstLine="420"/>
      </w:pPr>
      <w:r>
        <w:t>教材将看门人描述为中介和防御角色</w:t>
      </w:r>
      <w:r>
        <w:rPr>
          <w:sz w:val="15"/>
          <w:vertAlign w:val="superscript"/>
        </w:rPr>
        <w:t>P119</w:t>
      </w:r>
      <w:r>
        <w:t>，并未将其定性为“高风险主体”或“故意”允许犯罪。看门人可能被利用，但“故意让犯罪分子进入”这一恶意假设，不如B项“第一道防线”更吻合教材的职能定位。</w:t>
      </w:r>
    </w:p>
    <w:p>
      <w:pPr>
        <w:spacing w:before="120" w:after="40"/>
      </w:pPr>
      <w:r>
        <w:rPr>
          <w:b/>
          <w:sz w:val="21"/>
          <w:shd w:fill="D6E4F0" w:val="clear"/>
        </w:rPr>
        <w:t>易错提醒</w:t>
      </w:r>
    </w:p>
    <w:p>
      <w:pPr>
        <w:spacing w:line="360" w:lineRule="auto" w:after="40"/>
        <w:ind w:firstLine="420"/>
      </w:pPr>
      <w:r>
        <w:t>区分“看门人的职能风险”与“看门人的法律地位”。教材指出看门人可能因缺乏保障措施而被利用</w:t>
      </w:r>
      <w:r>
        <w:rPr>
          <w:sz w:val="15"/>
          <w:vertAlign w:val="superscript"/>
        </w:rPr>
        <w:t>P119</w:t>
      </w:r>
      <w:r>
        <w:t>，但并未说他们不受法规约束。选项A错将职能性风险等同于法律缺失。</w:t>
      </w:r>
    </w:p>
    <w:p>
      <w:pPr>
        <w:spacing w:line="360" w:lineRule="auto" w:after="120"/>
      </w:pPr>
      <w:r/>
    </w:p>
    <w:p>
      <w:pPr>
        <w:spacing w:line="360" w:lineRule="auto" w:after="40"/>
      </w:pPr>
      <w:r>
        <w:t>5. 在赌场中,哪种可疑活动可能是洗钱的最强有力的迹象？ ( )</w:t>
      </w:r>
    </w:p>
    <w:p>
      <w:pPr>
        <w:spacing w:line="360" w:lineRule="auto" w:after="20"/>
        <w:ind w:firstLine="283"/>
      </w:pPr>
      <w:r>
        <w:t>A. 一家私人控股公司通过赌场将资金转入多个赌客的投注账户.</w:t>
      </w:r>
    </w:p>
    <w:p>
      <w:pPr>
        <w:spacing w:line="360" w:lineRule="auto" w:after="20"/>
        <w:ind w:firstLine="283"/>
      </w:pPr>
      <w:r>
        <w:t>B. 一位赌客要求赌场将其赢来的钱转给另一家博彩运营商</w:t>
      </w:r>
    </w:p>
    <w:p>
      <w:pPr>
        <w:spacing w:line="360" w:lineRule="auto" w:after="20"/>
        <w:ind w:firstLine="283"/>
      </w:pPr>
      <w:r>
        <w:t>C. 一位赌客在21点赌桌前用现金购买了大量筹码</w:t>
      </w:r>
    </w:p>
    <w:p>
      <w:pPr>
        <w:spacing w:line="360" w:lineRule="auto" w:after="20"/>
        <w:ind w:firstLine="283"/>
      </w:pPr>
      <w:r>
        <w:t>D. 一位常客经常在相同的体育赛事上多次下注.</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识别赌场洗钱中利用第三人及多账户的结构化交易特征</w:t>
      </w:r>
    </w:p>
    <w:p>
      <w:pPr>
        <w:spacing w:before="120" w:after="40"/>
      </w:pPr>
      <w:r>
        <w:rPr>
          <w:b/>
          <w:sz w:val="21"/>
          <w:shd w:fill="D6E4F0" w:val="clear"/>
        </w:rPr>
        <w:t>核心解析</w:t>
      </w:r>
    </w:p>
    <w:p>
      <w:pPr>
        <w:spacing w:line="360" w:lineRule="auto" w:after="40"/>
        <w:ind w:firstLine="420"/>
      </w:pPr>
      <w:r>
        <w:t>结构化交易指通过第三方和多个账户拆分资金以规避报告门槛</w:t>
      </w:r>
      <w:r>
        <w:rPr>
          <w:sz w:val="15"/>
          <w:vertAlign w:val="superscript"/>
        </w:rPr>
        <w:t>P121</w:t>
      </w:r>
      <w:r>
        <w:t>。教材在博彩风险部分将“利用第三方和多笔交易安排存款”列为洗钱风险指标</w:t>
      </w:r>
      <w:r>
        <w:rPr>
          <w:sz w:val="15"/>
          <w:vertAlign w:val="superscript"/>
        </w:rPr>
        <w:t>P121</w:t>
      </w:r>
      <w:r>
        <w:t>。选项A中，一家私人控股公司作为资金的发起方，将资金转入多个赌客的投注账户，这正好吻合了利用公司实体和多个第三方账户来层层转移资金、切断来源与去向直接关联的离析手法。这种有组织的第三人介入和多账户特征，相比单纯的个人行为更能反映洗钱活动的隐蔽意图，因此是教材框架下最强的洗钱迹象。</w:t>
      </w:r>
    </w:p>
    <w:p>
      <w:pPr>
        <w:spacing w:before="120" w:after="40"/>
      </w:pPr>
      <w:r>
        <w:rPr>
          <w:b/>
          <w:sz w:val="21"/>
          <w:shd w:fill="D6E4F0" w:val="clear"/>
        </w:rPr>
        <w:t>B项错误</w:t>
      </w:r>
    </w:p>
    <w:p>
      <w:pPr>
        <w:spacing w:line="360" w:lineRule="auto" w:after="40"/>
        <w:ind w:firstLine="420"/>
      </w:pPr>
      <w:r>
        <w:t>将赢来的钱转入另一家博彩运营商，在教材中更接近正常商业行为或资金转移，题干未提供涉及伪造文件或秘密跨境转移犯罪收益等洗钱要素，因此作为洗钱迹象的强度不如A项直接。</w:t>
      </w:r>
    </w:p>
    <w:p>
      <w:pPr>
        <w:spacing w:before="120" w:after="40"/>
      </w:pPr>
      <w:r>
        <w:rPr>
          <w:b/>
          <w:sz w:val="21"/>
          <w:shd w:fill="D6E4F0" w:val="clear"/>
        </w:rPr>
        <w:t>C项错误</w:t>
      </w:r>
    </w:p>
    <w:p>
      <w:pPr>
        <w:spacing w:line="360" w:lineRule="auto" w:after="40"/>
        <w:ind w:firstLine="420"/>
      </w:pPr>
      <w:r>
        <w:t>教材描述了犯罪分子通过匿名购买筹码、短暂赌博后兑现来清洗资金</w:t>
      </w:r>
      <w:r>
        <w:rPr>
          <w:sz w:val="15"/>
          <w:vertAlign w:val="superscript"/>
        </w:rPr>
        <w:t>P120</w:t>
      </w:r>
      <w:r>
        <w:t>。但本题只描述了用现金大量购买筹码这一瞬间行为，这只是放置环节的一步，尚未形成完整的“买筹码-赌博-兑现”清洗循环，其作为完整洗钱迹象的完成度不如A项高。</w:t>
      </w:r>
    </w:p>
    <w:p>
      <w:pPr>
        <w:spacing w:before="120" w:after="40"/>
      </w:pPr>
      <w:r>
        <w:rPr>
          <w:b/>
          <w:sz w:val="21"/>
          <w:shd w:fill="D6E4F0" w:val="clear"/>
        </w:rPr>
        <w:t>D项错误</w:t>
      </w:r>
    </w:p>
    <w:p>
      <w:pPr>
        <w:spacing w:line="360" w:lineRule="auto" w:after="40"/>
        <w:ind w:firstLine="420"/>
      </w:pPr>
      <w:r>
        <w:t>在相同体育赛事上多次下注更可能反映的是特定博彩偏好或套利策略，题干并未提及故意输牌转移价值</w:t>
      </w:r>
      <w:r>
        <w:rPr>
          <w:sz w:val="15"/>
          <w:vertAlign w:val="superscript"/>
        </w:rPr>
        <w:t>P121</w:t>
      </w:r>
      <w:r>
        <w:t>或任何其他洗钱相关的异常背景，因此不如具备结构性离析特征的选项A更吻合教材对可疑活动的刻画。</w:t>
      </w:r>
    </w:p>
    <w:p>
      <w:pPr>
        <w:spacing w:before="120" w:after="40"/>
      </w:pPr>
      <w:r>
        <w:rPr>
          <w:b/>
          <w:sz w:val="21"/>
          <w:shd w:fill="D6E4F0" w:val="clear"/>
        </w:rPr>
        <w:t>易错提醒</w:t>
      </w:r>
    </w:p>
    <w:p>
      <w:pPr>
        <w:spacing w:line="360" w:lineRule="auto" w:after="40"/>
        <w:ind w:firstLine="420"/>
      </w:pPr>
      <w:r>
        <w:t>区分单一现金交易与结构化交易的差异。大额现金购买筹码本身更多是放置阶段风险，而洗钱的最强迹象往往在于离析阶段——即利用多个账户、第三人拆分资金流动以逃避监管红线，这是选项A优于C的核心理由。</w:t>
      </w:r>
    </w:p>
    <w:p>
      <w:pPr>
        <w:spacing w:line="360" w:lineRule="auto" w:after="120"/>
      </w:pPr>
      <w:r/>
    </w:p>
    <w:p>
      <w:pPr>
        <w:spacing w:line="360" w:lineRule="auto" w:after="40"/>
      </w:pPr>
      <w:r>
        <w:t>6. 在离岸金融中心（OFC）设立的商业实体会给洗钱活动带来独特风险，因为它们通常： ( )</w:t>
      </w:r>
    </w:p>
    <w:p>
      <w:pPr>
        <w:spacing w:line="360" w:lineRule="auto" w:after="20"/>
        <w:ind w:firstLine="283"/>
      </w:pPr>
      <w:r>
        <w:t>A. 个人或实体之间存在非正式的业务安排</w:t>
      </w:r>
    </w:p>
    <w:p>
      <w:pPr>
        <w:spacing w:line="360" w:lineRule="auto" w:after="20"/>
        <w:ind w:firstLine="283"/>
      </w:pPr>
      <w:r>
        <w:t>B. 位于不受美国法律约束的地区</w:t>
      </w:r>
    </w:p>
    <w:p>
      <w:pPr>
        <w:spacing w:line="360" w:lineRule="auto" w:after="20"/>
        <w:ind w:firstLine="283"/>
      </w:pPr>
      <w:r>
        <w:t>C. 包括信托、投资基金和保险公司</w:t>
      </w:r>
    </w:p>
    <w:p>
      <w:pPr>
        <w:spacing w:line="360" w:lineRule="auto" w:after="20"/>
        <w:ind w:firstLine="283"/>
      </w:pPr>
      <w:r>
        <w:t>D. 对设立这些商业实体的组织披露和记录保存要求有限</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识别离岸金融中心因披露有限而产生的高风险特征</w:t>
      </w:r>
    </w:p>
    <w:p>
      <w:pPr>
        <w:spacing w:before="120" w:after="40"/>
      </w:pPr>
      <w:r>
        <w:rPr>
          <w:b/>
          <w:sz w:val="21"/>
          <w:shd w:fill="D6E4F0" w:val="clear"/>
        </w:rPr>
        <w:t>核心解析</w:t>
      </w:r>
    </w:p>
    <w:p>
      <w:pPr>
        <w:spacing w:line="360" w:lineRule="auto" w:after="40"/>
        <w:ind w:firstLine="420"/>
      </w:pPr>
      <w:r>
        <w:t>教材将“有限的公开记录”（limited availability of public records）和“缺乏透明度”（lack of transparency）列为离岸金融中心的核心红旗信号（P127, P74）。离岸金融中心的洗钱风险根源于信息不透明——当设立商业实体的组织披露和记录保存要求有限时，执法机构和金融机构难以穿透层层结构来识别最终受益所有人，这为隐藏非法资金提供了便利。题干直接指向这一根本性风险特征：OFC之所以带来独特洗钱风险，正是因为它对设立商业实体的披露和记录保存要求有限，使得犯罪分子可以利用这种不透明性掩盖真实所有权。选项D准确抓住了教材定义的OFC风险本源。</w:t>
      </w:r>
    </w:p>
    <w:p>
      <w:pPr>
        <w:spacing w:before="120" w:after="40"/>
      </w:pPr>
      <w:r>
        <w:rPr>
          <w:b/>
          <w:sz w:val="21"/>
          <w:shd w:fill="D6E4F0" w:val="clear"/>
        </w:rPr>
        <w:t>教材原句</w:t>
      </w:r>
    </w:p>
    <w:p>
      <w:pPr>
        <w:spacing w:line="360" w:lineRule="auto" w:after="40"/>
        <w:ind w:firstLine="420"/>
      </w:pPr>
      <w:r>
        <w:t>"The limited availability of public records and complex international transaction flows increase the money laundering risks associated with offshore companies, making TCSP an important gatekeeper."</w:t>
      </w:r>
    </w:p>
    <w:p>
      <w:pPr>
        <w:spacing w:before="120" w:after="40"/>
      </w:pPr>
      <w:r>
        <w:rPr>
          <w:b/>
          <w:sz w:val="21"/>
          <w:shd w:fill="D6E4F0" w:val="clear"/>
        </w:rPr>
        <w:t>A项错误</w:t>
      </w:r>
    </w:p>
    <w:p>
      <w:pPr>
        <w:spacing w:line="360" w:lineRule="auto" w:after="40"/>
        <w:ind w:firstLine="420"/>
      </w:pPr>
      <w:r>
        <w:t>教材在离岸金融中心风险的讨论中未将“非正式业务安排”列为OFC的核心红旗信号。OFC的红旗信号清单包括复杂所有权结构、使用壳公司、缺乏透明度等</w:t>
      </w:r>
      <w:r>
        <w:rPr>
          <w:sz w:val="15"/>
          <w:vertAlign w:val="superscript"/>
        </w:rPr>
        <w:t>P74</w:t>
      </w:r>
      <w:r>
        <w:t>，这些均指向披露和记录制度的不完善，而非交易方之间的非正式安排。题干无信息支撑这一因素构成OFC的独特风险特征。</w:t>
      </w:r>
    </w:p>
    <w:p>
      <w:pPr>
        <w:spacing w:before="120" w:after="40"/>
      </w:pPr>
      <w:r>
        <w:rPr>
          <w:b/>
          <w:sz w:val="21"/>
          <w:shd w:fill="D6E4F0" w:val="clear"/>
        </w:rPr>
        <w:t>B项错误</w:t>
      </w:r>
    </w:p>
    <w:p>
      <w:pPr>
        <w:spacing w:line="360" w:lineRule="auto" w:after="40"/>
        <w:ind w:firstLine="420"/>
      </w:pPr>
      <w:r>
        <w:t>教材指出部分离岸地区反洗钱法规薄弱</w:t>
      </w:r>
      <w:r>
        <w:rPr>
          <w:sz w:val="15"/>
          <w:vertAlign w:val="superscript"/>
        </w:rPr>
        <w:t>P127</w:t>
      </w:r>
      <w:r>
        <w:t>，但OFC的核心风险在于披露和透明度的结构性缺失，而非特定国家法律的适用性问题。选项B将焦点限定在“美国法律”这一国家视角，相比选项D从披露制度本身切入，后者更直接吻合教材定义的OFC风险特征。此外，教材提到美英法的反腐败立法具有域外效力</w:t>
      </w:r>
      <w:r>
        <w:rPr>
          <w:sz w:val="15"/>
          <w:vertAlign w:val="superscript"/>
        </w:rPr>
        <w:t>P205</w:t>
      </w:r>
      <w:r>
        <w:t>，OFC并非完全不面临任何国家的法律约束。</w:t>
      </w:r>
    </w:p>
    <w:p>
      <w:pPr>
        <w:spacing w:before="120" w:after="40"/>
      </w:pPr>
      <w:r>
        <w:rPr>
          <w:b/>
          <w:sz w:val="21"/>
          <w:shd w:fill="D6E4F0" w:val="clear"/>
        </w:rPr>
        <w:t>C项错误</w:t>
      </w:r>
    </w:p>
    <w:p>
      <w:pPr>
        <w:spacing w:line="360" w:lineRule="auto" w:after="40"/>
        <w:ind w:firstLine="420"/>
      </w:pPr>
      <w:r>
        <w:t>教材将信托、投资基金、保险公司归类为“金融机构”，属于受监管的实体类型</w:t>
      </w:r>
      <w:r>
        <w:rPr>
          <w:sz w:val="15"/>
          <w:vertAlign w:val="superscript"/>
        </w:rPr>
        <w:t>P199</w:t>
      </w:r>
      <w:r>
        <w:t>。题干问的是在OFC“设立商业实体”本身为何带来风险，而非这些实体属于什么类型。选项C列举的实体本身并非风险来源，风险在于设立这些实体时披露和记录保存要求有限——这与选项D相比，匹配度明显不足。</w:t>
      </w:r>
    </w:p>
    <w:p>
      <w:pPr>
        <w:spacing w:before="120" w:after="40"/>
      </w:pPr>
      <w:r>
        <w:rPr>
          <w:b/>
          <w:sz w:val="21"/>
          <w:shd w:fill="D6E4F0" w:val="clear"/>
        </w:rPr>
        <w:t>易错提醒</w:t>
      </w:r>
    </w:p>
    <w:p>
      <w:pPr>
        <w:spacing w:line="360" w:lineRule="auto" w:after="40"/>
        <w:ind w:firstLine="420"/>
      </w:pPr>
      <w:r>
        <w:t>不要将“不受美国法律约束”这一国别视角等同于教材定义的OFC核心风险。教材强调OFC的风险在于“披露与透明度不足”这一结构性缺陷，而非特定国家对OFC是否有管辖权。前者是制度设计的缺失，后者是法律管辖范围的问题，两者切入角度不同。</w:t>
      </w:r>
    </w:p>
    <w:p>
      <w:pPr>
        <w:spacing w:line="360" w:lineRule="auto" w:after="120"/>
      </w:pPr>
      <w:r/>
    </w:p>
    <w:p>
      <w:pPr>
        <w:spacing w:line="360" w:lineRule="auto" w:after="40"/>
      </w:pPr>
      <w:r>
        <w:t>7. 虽然信托和公司服务提供商（TCSP）有正当理由任命代名股东，但代名股东的哪一特征会带来最大的金融犯罪风险？ ( )</w:t>
      </w:r>
    </w:p>
    <w:p>
      <w:pPr>
        <w:spacing w:line="360" w:lineRule="auto" w:after="20"/>
        <w:ind w:firstLine="283"/>
      </w:pPr>
      <w:r>
        <w:t>A. 支持公司流动性及退出策略的便利性</w:t>
      </w:r>
    </w:p>
    <w:p>
      <w:pPr>
        <w:spacing w:line="360" w:lineRule="auto" w:after="20"/>
        <w:ind w:firstLine="283"/>
      </w:pPr>
      <w:r>
        <w:t>B. 通过将受益所有人的身份从公共登记册中隐藏起来为其提供匿名性</w:t>
      </w:r>
    </w:p>
    <w:p>
      <w:pPr>
        <w:spacing w:line="360" w:lineRule="auto" w:after="20"/>
        <w:ind w:firstLine="283"/>
      </w:pPr>
      <w:r>
        <w:t>C. 简化与持股相关的行政事务</w:t>
      </w:r>
    </w:p>
    <w:p>
      <w:pPr>
        <w:spacing w:line="360" w:lineRule="auto" w:after="20"/>
        <w:ind w:firstLine="283"/>
      </w:pPr>
      <w:r>
        <w:t>D. 协助非居民遵守本地所有权法规</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识别名义服务通过隐藏受益所有人身份带来的洗钱风险</w:t>
      </w:r>
    </w:p>
    <w:p>
      <w:pPr>
        <w:spacing w:before="120" w:after="40"/>
      </w:pPr>
      <w:r>
        <w:rPr>
          <w:b/>
          <w:sz w:val="21"/>
          <w:shd w:fill="D6E4F0" w:val="clear"/>
        </w:rPr>
        <w:t>核心解析</w:t>
      </w:r>
    </w:p>
    <w:p>
      <w:pPr>
        <w:spacing w:line="360" w:lineRule="auto" w:after="40"/>
        <w:ind w:firstLine="420"/>
      </w:pPr>
      <w:r>
        <w:t>名义董事或股东可被用于隐藏最终受益所有人（UBO）身份，通过混淆制造一层匿名性，从而放大洗钱风险</w:t>
      </w:r>
      <w:r>
        <w:rPr>
          <w:sz w:val="15"/>
          <w:vertAlign w:val="superscript"/>
        </w:rPr>
        <w:t>P127</w:t>
      </w:r>
      <w:r>
        <w:t>。题干聚焦于代名股东的“最大金融犯罪风险”特征。相比之下，选项B描述的“将受益所有人身份从公共登记册中隐藏以提供匿名性”直接命中教材定义的核心风险机制——利用名义结构切断所有权链条与公开记录的关联，使执法机关和金融机构难以穿透识别真正控制者。这种匿名性正是洗钱分子利用TCSP名义服务的最主要目的，其危害程度超过单纯的行政便利或合规辅助。选项B与教材的风险定位完全吻合，由此可推断为该题条件下的最优解。</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A项错误</w:t>
      </w:r>
    </w:p>
    <w:p>
      <w:pPr>
        <w:spacing w:line="360" w:lineRule="auto" w:after="40"/>
        <w:ind w:firstLine="420"/>
      </w:pPr>
      <w:r>
        <w:t>“支持公司流动性及退出策略的便利性”属于正当商业目的范畴。题干问的是金融犯罪风险，而非合法功能。选项A与教材对名义服务洗钱风险的定位不直接相关，教材未将此便利性列为风险要素。</w:t>
      </w:r>
    </w:p>
    <w:p>
      <w:pPr>
        <w:spacing w:before="120" w:after="40"/>
      </w:pPr>
      <w:r>
        <w:rPr>
          <w:b/>
          <w:sz w:val="21"/>
          <w:shd w:fill="D6E4F0" w:val="clear"/>
        </w:rPr>
        <w:t>C项错误</w:t>
      </w:r>
    </w:p>
    <w:p>
      <w:pPr>
        <w:spacing w:line="360" w:lineRule="auto" w:after="40"/>
        <w:ind w:firstLine="420"/>
      </w:pPr>
      <w:r>
        <w:t>“简化行政事务”是名义服务的正当功能之一。教材在定义名义服务时提及第三方代表客户担任董事或股东</w:t>
      </w:r>
      <w:r>
        <w:rPr>
          <w:sz w:val="15"/>
          <w:vertAlign w:val="superscript"/>
        </w:rPr>
        <w:t>P127</w:t>
      </w:r>
      <w:r>
        <w:t>，简化行政事务本身就属于此类服务的常规目的，未被归入风险指标。</w:t>
      </w:r>
    </w:p>
    <w:p>
      <w:pPr>
        <w:spacing w:before="120" w:after="40"/>
      </w:pPr>
      <w:r>
        <w:rPr>
          <w:b/>
          <w:sz w:val="21"/>
          <w:shd w:fill="D6E4F0" w:val="clear"/>
        </w:rPr>
        <w:t>D项错误</w:t>
      </w:r>
    </w:p>
    <w:p>
      <w:pPr>
        <w:spacing w:line="360" w:lineRule="auto" w:after="40"/>
        <w:ind w:firstLine="420"/>
      </w:pPr>
      <w:r>
        <w:t>“协助非居民遵守本地所有权法规”同样是TCSP提供名义服务的合法商业场景。教材虽然提到离岸金融中心为非居民提供金融服务</w:t>
      </w:r>
      <w:r>
        <w:rPr>
          <w:sz w:val="15"/>
          <w:vertAlign w:val="superscript"/>
        </w:rPr>
        <w:t>P74</w:t>
      </w:r>
      <w:r>
        <w:t>，但并未将此合规辅助功能识别为洗钱风险来源。与其说是风险特征，不如说是合规动机。</w:t>
      </w:r>
    </w:p>
    <w:p>
      <w:pPr>
        <w:spacing w:before="120" w:after="40"/>
      </w:pPr>
      <w:r>
        <w:rPr>
          <w:b/>
          <w:sz w:val="21"/>
          <w:shd w:fill="D6E4F0" w:val="clear"/>
        </w:rPr>
        <w:t>易错提醒</w:t>
      </w:r>
    </w:p>
    <w:p>
      <w:pPr>
        <w:spacing w:line="360" w:lineRule="auto" w:after="40"/>
        <w:ind w:firstLine="420"/>
      </w:pPr>
      <w:r>
        <w:t>“匿名性”（anonymity）与“谨慎性”（discretion）在教材中被明确区分：谨慎是客户寻求的合理数据保护诉求，而匿名则是故意切断身份关联以逃避审查</w:t>
      </w:r>
      <w:r>
        <w:rPr>
          <w:sz w:val="15"/>
          <w:vertAlign w:val="superscript"/>
        </w:rPr>
        <w:t>P341</w:t>
      </w:r>
      <w:r>
        <w:t>。名义服务之所以构成高风险，恰恰因为它提供的是“匿名”而非“谨慎”——代名股东将受益所有人完全隐藏在公共登记册之外，而非仅在数据使用层面保持审慎。</w:t>
      </w:r>
    </w:p>
    <w:p>
      <w:pPr>
        <w:spacing w:line="360" w:lineRule="auto" w:after="120"/>
      </w:pPr>
      <w:r/>
    </w:p>
    <w:p>
      <w:pPr>
        <w:spacing w:line="360" w:lineRule="auto" w:after="40"/>
      </w:pPr>
      <w:r>
        <w:t>8. 犯罪分子可能会滥用由会计师编制的财务报表来隐藏非法资产。以下哪种情形最有可能导致犯罪分子操纵财务报表？ ( )</w:t>
      </w:r>
    </w:p>
    <w:p>
      <w:pPr>
        <w:spacing w:line="360" w:lineRule="auto" w:after="20"/>
        <w:ind w:firstLine="283"/>
      </w:pPr>
      <w:r>
        <w:t>A. 实体注册所在国缺乏专业机构监管或未强制要求使用会计和审计标准</w:t>
      </w:r>
    </w:p>
    <w:p>
      <w:pPr>
        <w:spacing w:line="360" w:lineRule="auto" w:after="20"/>
        <w:ind w:firstLine="283"/>
      </w:pPr>
      <w:r>
        <w:t>B. 犯罪分子假扮成寻求财务建议的个人，将资产转移至难以触及之处，以逃避未来可能承担的责任</w:t>
      </w:r>
    </w:p>
    <w:p>
      <w:pPr>
        <w:spacing w:line="360" w:lineRule="auto" w:after="20"/>
        <w:ind w:firstLine="283"/>
      </w:pPr>
      <w:r>
        <w:t>C. 记账时提供的记录不完整，导致难以审计</w:t>
      </w:r>
    </w:p>
    <w:p>
      <w:pPr>
        <w:spacing w:line="360" w:lineRule="auto" w:after="20"/>
        <w:ind w:firstLine="283"/>
      </w:pPr>
      <w:r>
        <w:t>D. 会计师被用作中间人，将犯罪分子介绍给金融机构</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监管缺失对财务报表操纵风险的影响</w:t>
      </w:r>
    </w:p>
    <w:p>
      <w:pPr>
        <w:spacing w:before="120" w:after="40"/>
      </w:pPr>
      <w:r>
        <w:rPr>
          <w:b/>
          <w:sz w:val="21"/>
          <w:shd w:fill="D6E4F0" w:val="clear"/>
        </w:rPr>
        <w:t>核心解析</w:t>
      </w:r>
    </w:p>
    <w:p>
      <w:pPr>
        <w:spacing w:line="360" w:lineRule="auto" w:after="40"/>
        <w:ind w:firstLine="420"/>
      </w:pPr>
      <w:r>
        <w:t>会计与审计行业因接触敏感财务信息，以及在财务管理、报告和咨询中发挥作用而面临重大洗钱风险</w:t>
      </w:r>
      <w:r>
        <w:rPr>
          <w:sz w:val="15"/>
          <w:vertAlign w:val="superscript"/>
        </w:rPr>
        <w:t>P123</w:t>
      </w:r>
      <w:r>
        <w:t>。财务报表本身是报告职能的核心输出，如果实体注册国缺乏专业机构监管且不强制要求使用会计和审计标准，编制过程就缺少统一约束和外部独立验证。犯罪分子在这种制度环境下更容易虚构或篡改财务数据，用看似合法的报表遮掩非法资产的来源和去向。题干问的是“最有可能导致犯罪分子操纵财务报表”的情形，制度性的监督真空直接为操纵提供了土壤，比其他选项中偶发的人为介入或信息不全更根本地削弱了报表的可信度。</w:t>
      </w:r>
    </w:p>
    <w:p>
      <w:pPr>
        <w:spacing w:before="120" w:after="40"/>
      </w:pPr>
      <w:r>
        <w:rPr>
          <w:b/>
          <w:sz w:val="21"/>
          <w:shd w:fill="D6E4F0" w:val="clear"/>
        </w:rPr>
        <w:t>教材原句</w:t>
      </w:r>
    </w:p>
    <w:p>
      <w:pPr>
        <w:spacing w:line="360" w:lineRule="auto" w:after="40"/>
        <w:ind w:firstLine="420"/>
      </w:pPr>
      <w:r>
        <w:t>"Money laundering poses substantial risks in the accounting and auditing sectors due to professionals' access to sensitive financial information and their roles in financial management, reporting, and advising."</w:t>
      </w:r>
    </w:p>
    <w:p>
      <w:pPr>
        <w:spacing w:before="120" w:after="40"/>
      </w:pPr>
      <w:r>
        <w:rPr>
          <w:b/>
          <w:sz w:val="21"/>
          <w:shd w:fill="D6E4F0" w:val="clear"/>
        </w:rPr>
        <w:t>B项错误</w:t>
      </w:r>
    </w:p>
    <w:p>
      <w:pPr>
        <w:spacing w:line="360" w:lineRule="auto" w:after="40"/>
        <w:ind w:firstLine="420"/>
      </w:pPr>
      <w:r>
        <w:t>选项描述犯罪分子伪装身份转移资产以逃避责任，侧重于隐匿资产本身，而非伪造财务报表数据。教材中会计师也可能设计复杂结构隐藏资产</w:t>
      </w:r>
      <w:r>
        <w:rPr>
          <w:sz w:val="15"/>
          <w:vertAlign w:val="superscript"/>
        </w:rPr>
        <w:t>P123</w:t>
      </w:r>
      <w:r>
        <w:t>，但题干特指“操纵财务报表”，该选项缺少与报表编制的直接联系，匹配度不如反映制度缺陷的A。</w:t>
      </w:r>
    </w:p>
    <w:p>
      <w:pPr>
        <w:spacing w:before="120" w:after="40"/>
      </w:pPr>
      <w:r>
        <w:rPr>
          <w:b/>
          <w:sz w:val="21"/>
          <w:shd w:fill="D6E4F0" w:val="clear"/>
        </w:rPr>
        <w:t>C项错误</w:t>
      </w:r>
    </w:p>
    <w:p>
      <w:pPr>
        <w:spacing w:line="360" w:lineRule="auto" w:after="40"/>
        <w:ind w:firstLine="420"/>
      </w:pPr>
      <w:r>
        <w:t>记录不完整造成审计困难，更多体现为会计师面临的业务障碍，而非犯罪分子主动操纵报表的驱动力。题干问的是何种情形为操纵提供最有利条件，A所代表的监管缺失能从根源上解除对报表的制约，相比之下，不完整记录只是执行层面的局部问题，不足以成为最直接的风险因素。</w:t>
      </w:r>
    </w:p>
    <w:p>
      <w:pPr>
        <w:spacing w:before="120" w:after="40"/>
      </w:pPr>
      <w:r>
        <w:rPr>
          <w:b/>
          <w:sz w:val="21"/>
          <w:shd w:fill="D6E4F0" w:val="clear"/>
        </w:rPr>
        <w:t>D项错误</w:t>
      </w:r>
    </w:p>
    <w:p>
      <w:pPr>
        <w:spacing w:line="360" w:lineRule="auto" w:after="40"/>
        <w:ind w:firstLine="420"/>
      </w:pPr>
      <w:r>
        <w:t>会计师被用作中间人介绍金融机构属于DNFBP看门人角色的滥用</w:t>
      </w:r>
      <w:r>
        <w:rPr>
          <w:sz w:val="15"/>
          <w:vertAlign w:val="superscript"/>
        </w:rPr>
        <w:t>P119</w:t>
      </w:r>
      <w:r>
        <w:t>，其焦点在于通过专业人员接触金融系统，与财务报表本身的编制或篡改行为无关。题干锁定的风险是粉饰报表，而该选项未涉及任何报表生成的环节，关联度明显低于A。</w:t>
      </w:r>
    </w:p>
    <w:p>
      <w:pPr>
        <w:spacing w:line="360" w:lineRule="auto" w:after="120"/>
      </w:pPr>
      <w:r/>
    </w:p>
    <w:p>
      <w:pPr>
        <w:spacing w:line="360" w:lineRule="auto" w:after="40"/>
      </w:pPr>
      <w:r>
        <w:t>9. 一家赌场的合规部门正在审查近期的交易，并已发现了一些可能需要进一步调查的活动。哪笔交易需要进一步调查？ ( )</w:t>
      </w:r>
    </w:p>
    <w:p>
      <w:pPr>
        <w:spacing w:line="360" w:lineRule="auto" w:after="20"/>
        <w:ind w:firstLine="283"/>
      </w:pPr>
      <w:r>
        <w:t>A. 一位常去赌场的赌客，每次存入少量现金，却总是要求将赢来的钱换成大额支票提现</w:t>
      </w:r>
    </w:p>
    <w:p>
      <w:pPr>
        <w:spacing w:line="360" w:lineRule="auto" w:after="20"/>
        <w:ind w:firstLine="283"/>
      </w:pPr>
      <w:r>
        <w:t>B. 一群游客用信用卡购买筹码，参与高额赌局，然后套现</w:t>
      </w:r>
    </w:p>
    <w:p>
      <w:pPr>
        <w:spacing w:line="360" w:lineRule="auto" w:after="20"/>
        <w:ind w:firstLine="283"/>
      </w:pPr>
      <w:r>
        <w:t>C. 一名玩家使用现金和从国际账户通过电汇转入的5万美元购买筹码，但并未参与赌博，随后将筹码全部提现</w:t>
      </w:r>
    </w:p>
    <w:p>
      <w:pPr>
        <w:spacing w:line="360" w:lineRule="auto" w:after="20"/>
        <w:ind w:firstLine="283"/>
      </w:pPr>
      <w:r>
        <w:t>D. 偶尔光顾的玩家，使用与国外账户关联的预付借记卡玩低注额的游戏</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识别赌场场景下购买筹码不解赌即兑现的洗钱手法</w:t>
      </w:r>
    </w:p>
    <w:p>
      <w:pPr>
        <w:spacing w:before="120" w:after="40"/>
      </w:pPr>
      <w:r>
        <w:rPr>
          <w:b/>
          <w:sz w:val="21"/>
          <w:shd w:fill="D6E4F0" w:val="clear"/>
        </w:rPr>
        <w:t>核心解析</w:t>
      </w:r>
    </w:p>
    <w:p>
      <w:pPr>
        <w:spacing w:line="360" w:lineRule="auto" w:after="40"/>
        <w:ind w:firstLine="420"/>
      </w:pPr>
      <w:r>
        <w:t>教材指出犯罪分子会通过匿名购买筹码、短暂赌博后兑现来清洗非法资金</w:t>
      </w:r>
      <w:r>
        <w:rPr>
          <w:sz w:val="15"/>
          <w:vertAlign w:val="superscript"/>
        </w:rPr>
        <w:t>P120</w:t>
      </w:r>
      <w:r>
        <w:t>。赌场因大量现金交易而特别易受洗钱风险</w:t>
      </w:r>
      <w:r>
        <w:rPr>
          <w:sz w:val="15"/>
          <w:vertAlign w:val="superscript"/>
        </w:rPr>
        <w:t>P120</w:t>
      </w:r>
      <w:r>
        <w:t>。选项C中，玩家使用现金和国际电汇购买5万美元筹码，但未参与任何赌博就直接全部提现。这种“购买筹码→不赌即兑现”的模式，比教材描述的“短暂赌博后再兑现”更直接地实现了资金的转换与清洗，完全绕开了赌博这一掩盖环节，异常特征极为突出，因此最需要进一步调查。</w:t>
      </w:r>
    </w:p>
    <w:p>
      <w:pPr>
        <w:spacing w:before="120" w:after="40"/>
      </w:pPr>
      <w:r>
        <w:rPr>
          <w:b/>
          <w:sz w:val="21"/>
          <w:shd w:fill="D6E4F0" w:val="clear"/>
        </w:rPr>
        <w:t>教材原句</w:t>
      </w:r>
    </w:p>
    <w:p>
      <w:pPr>
        <w:spacing w:line="360" w:lineRule="auto" w:after="40"/>
        <w:ind w:firstLine="420"/>
      </w:pPr>
      <w:r>
        <w:t>"Criminals can anonymously purchase chips with illicit funds, gamble briefly, and cash out, effectively "cleaning" their money."</w:t>
      </w:r>
    </w:p>
    <w:p>
      <w:pPr>
        <w:spacing w:before="120" w:after="40"/>
      </w:pPr>
      <w:r>
        <w:rPr>
          <w:b/>
          <w:sz w:val="21"/>
          <w:shd w:fill="D6E4F0" w:val="clear"/>
        </w:rPr>
        <w:t>A项错误</w:t>
      </w:r>
    </w:p>
    <w:p>
      <w:pPr>
        <w:spacing w:line="360" w:lineRule="auto" w:after="40"/>
        <w:ind w:firstLine="420"/>
      </w:pPr>
      <w:r>
        <w:t>该赌客将小额现金兑换为大额支票，属于赌场内常见的资金转出方式，且“赢来的钱”提示其已完成赌博，行为符合正常客户画像。教材</w:t>
      </w:r>
      <w:r>
        <w:rPr>
          <w:sz w:val="15"/>
          <w:vertAlign w:val="superscript"/>
        </w:rPr>
        <w:t>P436</w:t>
      </w:r>
      <w:r>
        <w:t>在客户分群案例中说明，街头小贩定期现金存款因业务性质属预期行为，同理，常客将赌赢现金换为支票亦属预期，不如C那种跳过赌博直接兑现的异常模式需要调查。</w:t>
      </w:r>
    </w:p>
    <w:p>
      <w:pPr>
        <w:spacing w:before="120" w:after="40"/>
      </w:pPr>
      <w:r>
        <w:rPr>
          <w:b/>
          <w:sz w:val="21"/>
          <w:shd w:fill="D6E4F0" w:val="clear"/>
        </w:rPr>
        <w:t>B项错误</w:t>
      </w:r>
    </w:p>
    <w:p>
      <w:pPr>
        <w:spacing w:line="360" w:lineRule="auto" w:after="40"/>
        <w:ind w:firstLine="420"/>
      </w:pPr>
      <w:r>
        <w:t>游客用信用卡购买筹码、参与高额赌局后套现，呈现的是典型赌场消费行为，没有明显偏离预期。教材</w:t>
      </w:r>
      <w:r>
        <w:rPr>
          <w:sz w:val="15"/>
          <w:vertAlign w:val="superscript"/>
        </w:rPr>
        <w:t>P69</w:t>
      </w:r>
      <w:r>
        <w:t>指出信用卡账户更多被用于离析和融合阶段，且用于购买筹码并套现在此场景下属于正常博彩活动，不具备指向洗钱的异常要素，因此其调查紧迫性远低于直接不赌即提现的C项。</w:t>
      </w:r>
    </w:p>
    <w:p>
      <w:pPr>
        <w:spacing w:before="120" w:after="40"/>
      </w:pPr>
      <w:r>
        <w:rPr>
          <w:b/>
          <w:sz w:val="21"/>
          <w:shd w:fill="D6E4F0" w:val="clear"/>
        </w:rPr>
        <w:t>D项错误</w:t>
      </w:r>
    </w:p>
    <w:p>
      <w:pPr>
        <w:spacing w:line="360" w:lineRule="auto" w:after="40"/>
        <w:ind w:firstLine="420"/>
      </w:pPr>
      <w:r>
        <w:t>该玩家以预付借记卡进行低注额游戏，且为偶尔光顾，交易特征与金额均未显示异常。教材</w:t>
      </w:r>
      <w:r>
        <w:rPr>
          <w:sz w:val="15"/>
          <w:vertAlign w:val="superscript"/>
        </w:rPr>
        <w:t>P68</w:t>
      </w:r>
      <w:r>
        <w:t>提到借记卡因关联银行账户及反洗钱控制而风险有所缓解，低注额更降低了可疑程度，与C项的大额、多资金来源且无赌博行为相比，需要调查的理由明显不足。</w:t>
      </w:r>
    </w:p>
    <w:p>
      <w:pPr>
        <w:spacing w:before="120" w:after="40"/>
      </w:pPr>
      <w:r>
        <w:rPr>
          <w:b/>
          <w:sz w:val="21"/>
          <w:shd w:fill="D6E4F0" w:val="clear"/>
        </w:rPr>
        <w:t>易错提醒</w:t>
      </w:r>
    </w:p>
    <w:p>
      <w:pPr>
        <w:spacing w:line="360" w:lineRule="auto" w:after="40"/>
        <w:ind w:firstLine="420"/>
      </w:pPr>
      <w:r>
        <w:t>教材将赌场洗钱的典型手法描述为“购买筹码→赌博→兑现”</w:t>
      </w:r>
      <w:r>
        <w:rPr>
          <w:sz w:val="15"/>
          <w:vertAlign w:val="superscript"/>
        </w:rPr>
        <w:t>P120</w:t>
      </w:r>
      <w:r>
        <w:t>，环节中赌博是关键“清洗”动作，用于掩饰资金性质。直接将小额现金换为大额支票（选项A）或正常赌博后套现（选项B）都不具备该链条中跳过赌博直接兑现的异常性。若要进一步调查，应优先聚焦于无实际赌博行为的大额筹码兑现。</w:t>
      </w:r>
    </w:p>
    <w:p>
      <w:pPr>
        <w:spacing w:line="360" w:lineRule="auto" w:after="120"/>
      </w:pPr>
      <w:r/>
    </w:p>
    <w:p>
      <w:pPr>
        <w:spacing w:line="360" w:lineRule="auto" w:after="40"/>
      </w:pPr>
      <w:r>
        <w:t>10. 一位房地产买家在短时间内通过一系列交易用现金购买了多处高价值房产,且没有任何明确的经济理由.以下哪一项是房地产领域中这种行为最有可能涉及的洗钱风险？ ( )</w:t>
      </w:r>
    </w:p>
    <w:p>
      <w:pPr>
        <w:spacing w:line="360" w:lineRule="auto" w:after="20"/>
        <w:ind w:firstLine="283"/>
      </w:pPr>
      <w:r>
        <w:t>A. 买方正在利用高价值的房地产交易来掩</w:t>
      </w:r>
    </w:p>
    <w:p>
      <w:pPr>
        <w:spacing w:line="360" w:lineRule="auto" w:after="20"/>
        <w:ind w:firstLine="283"/>
      </w:pPr>
      <w:r>
        <w:t>B. 买方正通过安排付款方式迅速实现其投资组合的多元化,以利用房地产现金交易的流动性.</w:t>
      </w:r>
    </w:p>
    <w:p>
      <w:pPr>
        <w:spacing w:line="360" w:lineRule="auto" w:after="20"/>
        <w:ind w:firstLine="283"/>
      </w:pPr>
      <w:r>
        <w:t>C. 买方利用有利的市场条件,通过现金购买的方式,在竞争激烈的房地产市场中凭借内幕消息击败竞争对手.</w:t>
      </w:r>
    </w:p>
    <w:p>
      <w:pPr>
        <w:spacing w:line="360" w:lineRule="auto" w:after="20"/>
        <w:ind w:firstLine="283"/>
      </w:pPr>
      <w:r>
        <w:t>D. 买方是一家房地产开发商,正与位于高风险司法管辖区的业务伙伴一起收购多处房产,以用于潜在的再开发项目.</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识别房地产洗钱中“全现金购买”+“无经济理由”组合构成的红旗信号</w:t>
      </w:r>
    </w:p>
    <w:p>
      <w:pPr>
        <w:spacing w:before="120" w:after="40"/>
      </w:pPr>
      <w:r>
        <w:rPr>
          <w:b/>
          <w:sz w:val="21"/>
          <w:shd w:fill="D6E4F0" w:val="clear"/>
        </w:rPr>
        <w:t>核心解析</w:t>
      </w:r>
    </w:p>
    <w:p>
      <w:pPr>
        <w:spacing w:line="360" w:lineRule="auto" w:after="40"/>
        <w:ind w:firstLine="420"/>
      </w:pPr>
      <w:r>
        <w:t>教材将全部或主要用现金支付列为房地产洗钱的重点红旗信号</w:t>
      </w:r>
      <w:r>
        <w:rPr>
          <w:sz w:val="15"/>
          <w:vertAlign w:val="superscript"/>
        </w:rPr>
        <w:t>P122</w:t>
      </w:r>
      <w:r>
        <w:t>，同时指出犯罪分子会利用购买高价值房产将非法资金融入合法经济</w:t>
      </w:r>
      <w:r>
        <w:rPr>
          <w:sz w:val="15"/>
          <w:vertAlign w:val="superscript"/>
        </w:rPr>
        <w:t>P121</w:t>
      </w:r>
      <w:r>
        <w:t>。题干中，买方“在短时间内通过一系列交易用现金购买了多处高价值房产”且“没有任何明确的经济理由”。这两点恰好同时命中上述红旗：高价值资产可以吸收大额非法资金，现金则切断资金与银行系统的可追踪路径，而缺乏经济理由进一步排除了正当投资目的的可能性。由此可推断，该买家的行为最直接对应的洗钱风险就是利用房地产交易来掩盖资金的非法来源，即选项A所述。</w:t>
      </w:r>
    </w:p>
    <w:p>
      <w:pPr>
        <w:spacing w:before="120" w:after="40"/>
      </w:pPr>
      <w:r>
        <w:rPr>
          <w:b/>
          <w:sz w:val="21"/>
          <w:shd w:fill="D6E4F0" w:val="clear"/>
        </w:rPr>
        <w:t>教材原句</w:t>
      </w:r>
    </w:p>
    <w:p>
      <w:pPr>
        <w:spacing w:line="360" w:lineRule="auto" w:after="40"/>
        <w:ind w:firstLine="420"/>
      </w:pPr>
      <w:r>
        <w:t>"Red flags include buyers who pay entirely or primarily in cash, particularly in regions where bank financing is the norm."</w:t>
      </w:r>
    </w:p>
    <w:p>
      <w:pPr>
        <w:spacing w:before="120" w:after="40"/>
      </w:pPr>
      <w:r>
        <w:rPr>
          <w:b/>
          <w:sz w:val="21"/>
          <w:shd w:fill="D6E4F0" w:val="clear"/>
        </w:rPr>
        <w:t>B项错误</w:t>
      </w:r>
    </w:p>
    <w:p>
      <w:pPr>
        <w:spacing w:line="360" w:lineRule="auto" w:after="40"/>
        <w:ind w:firstLine="420"/>
      </w:pPr>
      <w:r>
        <w:t>题干已明确行为“没有任何明确的经济理由”，而选项B将其解释为投资组合多元化及利用流动性，相当于为行为提供了一种合理经济目的，与题干条件直接冲突。相比之下，A项直接对应“无理由+大量现金”这一洗钱风险组合，匹配度更高。</w:t>
      </w:r>
    </w:p>
    <w:p>
      <w:pPr>
        <w:spacing w:before="120" w:after="40"/>
      </w:pPr>
      <w:r>
        <w:rPr>
          <w:b/>
          <w:sz w:val="21"/>
          <w:shd w:fill="D6E4F0" w:val="clear"/>
        </w:rPr>
        <w:t>C项错误</w:t>
      </w:r>
    </w:p>
    <w:p>
      <w:pPr>
        <w:spacing w:line="360" w:lineRule="auto" w:after="40"/>
        <w:ind w:firstLine="420"/>
      </w:pPr>
      <w:r>
        <w:t>教材在加密资产部分提及内幕交易属于市场滥用</w:t>
      </w:r>
      <w:r>
        <w:rPr>
          <w:sz w:val="15"/>
          <w:vertAlign w:val="superscript"/>
        </w:rPr>
        <w:t>P193</w:t>
      </w:r>
      <w:r>
        <w:t>，但本题场景为房地产，且题干未提及市场条件、竞争优势或内幕消息等要素。C项引入的“内幕消息”远离教材对房地产洗钱风险的典型描述，不如A项直接对应现金掩盖来源的风险。</w:t>
      </w:r>
    </w:p>
    <w:p>
      <w:pPr>
        <w:spacing w:before="120" w:after="40"/>
      </w:pPr>
      <w:r>
        <w:rPr>
          <w:b/>
          <w:sz w:val="21"/>
          <w:shd w:fill="D6E4F0" w:val="clear"/>
        </w:rPr>
        <w:t>D项错误</w:t>
      </w:r>
    </w:p>
    <w:p>
      <w:pPr>
        <w:spacing w:line="360" w:lineRule="auto" w:after="40"/>
        <w:ind w:firstLine="420"/>
      </w:pPr>
      <w:r>
        <w:t>选项D给出了买方身份（开发商）和商业理由（再开发），这与题干“无经济理由”相矛盾。虽然教材提到来自高风险司法管辖区或通过公司等结构购买可构成风险（P121 – 122），但题干并未提示买家自身位于高风险法域，且该选项的核心是为行为提供了正当目的，匹配度显然不如A项直接揭示的掩盖来源风险。</w:t>
      </w:r>
    </w:p>
    <w:p>
      <w:pPr>
        <w:spacing w:before="120" w:after="40"/>
      </w:pPr>
      <w:r>
        <w:rPr>
          <w:b/>
          <w:sz w:val="21"/>
          <w:shd w:fill="D6E4F0" w:val="clear"/>
        </w:rPr>
        <w:t>易错提醒</w:t>
      </w:r>
    </w:p>
    <w:p>
      <w:pPr>
        <w:spacing w:line="360" w:lineRule="auto" w:after="40"/>
        <w:ind w:firstLine="420"/>
      </w:pPr>
      <w:r>
        <w:t>看到现金购房就联想合法投资，或看到“高风险司法管辖区”就认定是洗钱，都不对。教材的关键区分在于：行为是否缺乏合理经济解释，以及是否大量使用难以追踪的现金</w:t>
      </w:r>
      <w:r>
        <w:rPr>
          <w:sz w:val="15"/>
          <w:vertAlign w:val="superscript"/>
        </w:rPr>
        <w:t>P122</w:t>
      </w:r>
      <w:r>
        <w:t>。若选项同时提供合法身份和正当商业目的，哪怕涉及高风险法域，也需要更多红旗才能判定匹配洗钱风险。</w:t>
      </w:r>
    </w:p>
    <w:p>
      <w:pPr>
        <w:spacing w:line="360" w:lineRule="auto" w:after="120"/>
      </w:pPr>
      <w:r/>
    </w:p>
    <w:p>
      <w:pPr>
        <w:spacing w:line="360" w:lineRule="auto" w:after="40"/>
      </w:pPr>
      <w:r>
        <w:t>11. 当信托和公司服务提供商（TCSP）与高风险国家有关联时，以下哪一项可能会立即引发金融犯罪风险关注？ ( )</w:t>
      </w:r>
    </w:p>
    <w:p>
      <w:pPr>
        <w:spacing w:line="360" w:lineRule="auto" w:after="20"/>
        <w:ind w:firstLine="283"/>
      </w:pPr>
      <w:r>
        <w:t>A. 管理结构</w:t>
      </w:r>
    </w:p>
    <w:p>
      <w:pPr>
        <w:spacing w:line="360" w:lineRule="auto" w:after="20"/>
        <w:ind w:firstLine="283"/>
      </w:pPr>
      <w:r>
        <w:t>B. 治理框架</w:t>
      </w:r>
    </w:p>
    <w:p>
      <w:pPr>
        <w:spacing w:line="360" w:lineRule="auto" w:after="20"/>
        <w:ind w:firstLine="283"/>
      </w:pPr>
      <w:r>
        <w:t>C. 资产结构</w:t>
      </w:r>
    </w:p>
    <w:p>
      <w:pPr>
        <w:spacing w:line="360" w:lineRule="auto" w:after="20"/>
        <w:ind w:firstLine="283"/>
      </w:pPr>
      <w:r>
        <w:t>D. 资金来源</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识别TCSP掩盖资金来源这一核心洗钱风险</w:t>
      </w:r>
    </w:p>
    <w:p>
      <w:pPr>
        <w:spacing w:before="120" w:after="40"/>
      </w:pPr>
      <w:r>
        <w:rPr>
          <w:b/>
          <w:sz w:val="21"/>
          <w:shd w:fill="D6E4F0" w:val="clear"/>
        </w:rPr>
        <w:t>核心解析</w:t>
      </w:r>
    </w:p>
    <w:p>
      <w:pPr>
        <w:spacing w:line="360" w:lineRule="auto" w:after="40"/>
        <w:ind w:firstLine="420"/>
      </w:pPr>
      <w:r>
        <w:t>教材指出，信托或公司服务提供商建立的架构会掩盖受益所有人和“资金来源”</w:t>
      </w:r>
      <w:r>
        <w:rPr>
          <w:sz w:val="15"/>
          <w:vertAlign w:val="superscript"/>
        </w:rPr>
        <w:t>P120</w:t>
      </w:r>
      <w:r>
        <w:t>。当TCSP与高风险国家关联时，审查其资金来源是否合法，成为反洗钱工作中“立即”被引发的关注点，因为非法资金正是通过这种结构，将犯罪所得伪装成合法投资</w:t>
      </w:r>
      <w:r>
        <w:rPr>
          <w:sz w:val="15"/>
          <w:vertAlign w:val="superscript"/>
        </w:rPr>
        <w:t>P126</w:t>
      </w:r>
      <w:r>
        <w:t>。题干中的“高风险国家”进一步放大了资金来源不明的风险，使得选项D相比其他涉及内部管理的选项，更直接匹配教材定义的核心威胁。</w:t>
      </w:r>
    </w:p>
    <w:p>
      <w:pPr>
        <w:spacing w:before="120" w:after="40"/>
      </w:pPr>
      <w:r>
        <w:rPr>
          <w:b/>
          <w:sz w:val="21"/>
          <w:shd w:fill="D6E4F0" w:val="clear"/>
        </w:rPr>
        <w:t>教材原句</w:t>
      </w:r>
    </w:p>
    <w:p>
      <w:pPr>
        <w:spacing w:line="360" w:lineRule="auto" w:after="40"/>
        <w:ind w:firstLine="420"/>
      </w:pPr>
      <w:r>
        <w:t>"Trust or company service providers: These providers create structures that obscure beneficial ownership and the origin of funds, making them attractive to individuals seeking to launder money."</w:t>
      </w:r>
    </w:p>
    <w:p>
      <w:pPr>
        <w:spacing w:before="120" w:after="40"/>
      </w:pPr>
      <w:r>
        <w:rPr>
          <w:b/>
          <w:sz w:val="21"/>
          <w:shd w:fill="D6E4F0" w:val="clear"/>
        </w:rPr>
        <w:t>A项错误</w:t>
      </w:r>
    </w:p>
    <w:p>
      <w:pPr>
        <w:spacing w:line="360" w:lineRule="auto" w:after="40"/>
        <w:ind w:firstLine="420"/>
      </w:pPr>
      <w:r>
        <w:t>教材提到一些金融机构的“现有结构混乱，职责重叠”</w:t>
      </w:r>
      <w:r>
        <w:rPr>
          <w:sz w:val="15"/>
          <w:vertAlign w:val="superscript"/>
        </w:rPr>
        <w:t>P253</w:t>
      </w:r>
      <w:r>
        <w:t>，但这是在描述机构自身内控缺陷，而不是TCSP业务本身引发的风险。题干聚焦TCSP对外提供服务时，与高风险国家关联的直接金融犯罪风险点，相比之下，“管理结构”不如“资金来源”直接对应教材对TCSP风险的定义。</w:t>
      </w:r>
    </w:p>
    <w:p>
      <w:pPr>
        <w:spacing w:before="120" w:after="40"/>
      </w:pPr>
      <w:r>
        <w:rPr>
          <w:b/>
          <w:sz w:val="21"/>
          <w:shd w:fill="D6E4F0" w:val="clear"/>
        </w:rPr>
        <w:t>B项错误</w:t>
      </w:r>
    </w:p>
    <w:p>
      <w:pPr>
        <w:spacing w:line="360" w:lineRule="auto" w:after="40"/>
        <w:ind w:firstLine="420"/>
      </w:pPr>
      <w:r>
        <w:t>“稳健的治理结构是有效金融犯罪防控计划的基础”</w:t>
      </w:r>
      <w:r>
        <w:rPr>
          <w:sz w:val="15"/>
          <w:vertAlign w:val="superscript"/>
        </w:rPr>
        <w:t>P260</w:t>
      </w:r>
      <w:r>
        <w:t>，但其更偏向机构内部管控机制。题干描述的是TCSP对外业务关系中“立即引发”的风险，相比之下，内部治理框架是基础性要求，而非与高风险国家直接关联时最突出的即时风险信号。</w:t>
      </w:r>
    </w:p>
    <w:p>
      <w:pPr>
        <w:spacing w:before="120" w:after="40"/>
      </w:pPr>
      <w:r>
        <w:rPr>
          <w:b/>
          <w:sz w:val="21"/>
          <w:shd w:fill="D6E4F0" w:val="clear"/>
        </w:rPr>
        <w:t>C项错误</w:t>
      </w:r>
    </w:p>
    <w:p>
      <w:pPr>
        <w:spacing w:line="360" w:lineRule="auto" w:after="40"/>
        <w:ind w:firstLine="420"/>
      </w:pPr>
      <w:r>
        <w:t>数字资产价值转移的结构与传统金融交易类似</w:t>
      </w:r>
      <w:r>
        <w:rPr>
          <w:sz w:val="15"/>
          <w:vertAlign w:val="superscript"/>
        </w:rPr>
        <w:t>P434</w:t>
      </w:r>
      <w:r>
        <w:t>，但题干并未涉及数字资产这个要素。虽然TCSP确实可能构建复杂资产结构来掩盖所有权，但教材强调的是其掩盖“资金来源”的能力，资产结构的复杂性是这个目标的手段，而非最直接的关注点。</w:t>
      </w:r>
    </w:p>
    <w:p>
      <w:pPr>
        <w:spacing w:before="120" w:after="40"/>
      </w:pPr>
      <w:r>
        <w:rPr>
          <w:b/>
          <w:sz w:val="21"/>
          <w:shd w:fill="D6E4F0" w:val="clear"/>
        </w:rPr>
        <w:t>易错提醒</w:t>
      </w:r>
    </w:p>
    <w:p>
      <w:pPr>
        <w:spacing w:line="360" w:lineRule="auto" w:after="40"/>
        <w:ind w:firstLine="420"/>
      </w:pPr>
      <w:r>
        <w:t>出题人可能用“管理结构”和“治理框架”来迷惑考生，让考生误以为与高风险国家往来时，对方机构不健全的内控是首要风险。但教材在定义TCSP风险时，核心威胁是其行为可能掩盖“资金来源”，而对方机构的管理或治理只是这种风险发生的环境，不是风险本身。</w:t>
      </w:r>
    </w:p>
    <w:p>
      <w:pPr>
        <w:spacing w:line="360" w:lineRule="auto" w:after="120"/>
      </w:pPr>
      <w:r/>
    </w:p>
    <w:p>
      <w:pPr>
        <w:spacing w:line="360" w:lineRule="auto" w:after="40"/>
      </w:pPr>
      <w:r>
        <w:t>12. 一家为各类企业提供多种服务的信托和公司服务提供商接到了一位客户的要求,该客户有意成立一家新公司.客户请求协助办理公司注册手续,提供本地办公地址,以及提供年度维护服务,并指定人员担任新公司的法定职务.以下哪项服务涉及更高的洗钱风险？ ( )</w:t>
      </w:r>
    </w:p>
    <w:p>
      <w:pPr>
        <w:spacing w:line="360" w:lineRule="auto" w:after="20"/>
        <w:ind w:firstLine="283"/>
      </w:pPr>
      <w:r>
        <w:t>A. 任命个人担任公司的官方职务</w:t>
      </w:r>
    </w:p>
    <w:p>
      <w:pPr>
        <w:spacing w:line="360" w:lineRule="auto" w:after="20"/>
        <w:ind w:firstLine="283"/>
      </w:pPr>
      <w:r>
        <w:t>B. 年度维护服务</w:t>
      </w:r>
    </w:p>
    <w:p>
      <w:pPr>
        <w:spacing w:line="360" w:lineRule="auto" w:after="20"/>
        <w:ind w:firstLine="283"/>
      </w:pPr>
      <w:r>
        <w:t>C. 提供本地营业地址</w:t>
      </w:r>
    </w:p>
    <w:p>
      <w:pPr>
        <w:spacing w:line="360" w:lineRule="auto" w:after="20"/>
        <w:ind w:firstLine="283"/>
      </w:pPr>
      <w:r>
        <w:t>D. 公司注册服务</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识别“任命自然人担任公司官方职务”（名义服务）隐藏最终受益所有人的高风险特征</w:t>
      </w:r>
    </w:p>
    <w:p>
      <w:pPr>
        <w:spacing w:before="120" w:after="40"/>
      </w:pPr>
      <w:r>
        <w:rPr>
          <w:b/>
          <w:sz w:val="21"/>
          <w:shd w:fill="D6E4F0" w:val="clear"/>
        </w:rPr>
        <w:t>核心解析</w:t>
      </w:r>
    </w:p>
    <w:p>
      <w:pPr>
        <w:spacing w:line="360" w:lineRule="auto" w:after="40"/>
        <w:ind w:firstLine="420"/>
      </w:pPr>
      <w:r>
        <w:t>信托与公司服务提供商（TCSP）常提供名义服务，由第三方代表客户担任董事、高管或股东</w:t>
      </w:r>
      <w:r>
        <w:rPr>
          <w:sz w:val="15"/>
          <w:vertAlign w:val="superscript"/>
        </w:rPr>
        <w:t>P127</w:t>
      </w:r>
      <w:r>
        <w:t>。这类名义董事或股东可被用于隐藏最终受益所有人（UBO）身份，通过模糊化增加洗钱风险</w:t>
      </w:r>
      <w:r>
        <w:rPr>
          <w:sz w:val="15"/>
          <w:vertAlign w:val="superscript"/>
        </w:rPr>
        <w:t>P127</w:t>
      </w:r>
      <w:r>
        <w:t>。本题中，客户请求指定人员担任新公司的法定职务，正属于名义服务，会直接制造所有权匿名层，从而较其他三项常规行政服务（公司注册、提供地址、年度维护）带来更高的洗钱风险。</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B项错误</w:t>
      </w:r>
    </w:p>
    <w:p>
      <w:pPr>
        <w:spacing w:line="360" w:lineRule="auto" w:after="40"/>
        <w:ind w:firstLine="420"/>
      </w:pPr>
      <w:r>
        <w:t>年度维护服务属于公司秘书的常规职责，如维护记录、提交年报</w:t>
      </w:r>
      <w:r>
        <w:rPr>
          <w:sz w:val="15"/>
          <w:vertAlign w:val="superscript"/>
        </w:rPr>
        <w:t>P126</w:t>
      </w:r>
      <w:r>
        <w:t>，其本身并不像名义服务那样直接制造匿名层或隐藏UBO，因此风险相对较低。</w:t>
      </w:r>
    </w:p>
    <w:p>
      <w:pPr>
        <w:spacing w:before="120" w:after="40"/>
      </w:pPr>
      <w:r>
        <w:rPr>
          <w:b/>
          <w:sz w:val="21"/>
          <w:shd w:fill="D6E4F0" w:val="clear"/>
        </w:rPr>
        <w:t>C项错误</w:t>
      </w:r>
    </w:p>
    <w:p>
      <w:pPr>
        <w:spacing w:line="360" w:lineRule="auto" w:after="40"/>
        <w:ind w:firstLine="420"/>
      </w:pPr>
      <w:r>
        <w:t>提供本地营业地址在教材中未被列为TCSP的高风险活动，属于公司设立的配套行政事项，题干更支持把任命自然人担任职务认定为高风险。</w:t>
      </w:r>
    </w:p>
    <w:p>
      <w:pPr>
        <w:spacing w:before="120" w:after="40"/>
      </w:pPr>
      <w:r>
        <w:rPr>
          <w:b/>
          <w:sz w:val="21"/>
          <w:shd w:fill="D6E4F0" w:val="clear"/>
        </w:rPr>
        <w:t>D项错误</w:t>
      </w:r>
    </w:p>
    <w:p>
      <w:pPr>
        <w:spacing w:line="360" w:lineRule="auto" w:after="40"/>
        <w:ind w:firstLine="420"/>
      </w:pPr>
      <w:r>
        <w:t>公司注册服务是TCSP的基本服务，教材指出只有当涉及现成公司或离岸公司时风险才会显著上升</w:t>
      </w:r>
      <w:r>
        <w:rPr>
          <w:sz w:val="15"/>
          <w:vertAlign w:val="superscript"/>
        </w:rPr>
        <w:t>P127</w:t>
      </w:r>
      <w:r>
        <w:t>，而本题未指明这些特殊情形，因此该一般服务与题干条件的匹配度不如名义服务直接。</w:t>
      </w:r>
    </w:p>
    <w:p>
      <w:pPr>
        <w:spacing w:before="120" w:after="40"/>
      </w:pPr>
      <w:r>
        <w:rPr>
          <w:b/>
          <w:sz w:val="21"/>
          <w:shd w:fill="D6E4F0" w:val="clear"/>
        </w:rPr>
        <w:t>易错提醒</w:t>
      </w:r>
    </w:p>
    <w:p>
      <w:pPr>
        <w:spacing w:line="360" w:lineRule="auto" w:after="40"/>
        <w:ind w:firstLine="420"/>
      </w:pPr>
      <w:r>
        <w:t>学生可能认为公司注册服务即为高风险，但教材强调TCSP特有的高风险在于名义服务——由第三方担任董事或股东以隐匿UBO</w:t>
      </w:r>
      <w:r>
        <w:rPr>
          <w:sz w:val="15"/>
          <w:vertAlign w:val="superscript"/>
        </w:rPr>
        <w:t>P127</w:t>
      </w:r>
      <w:r>
        <w:t>。一般公司注册若无现成公司或离岸设立的特征，并不必然带来同等风险。</w:t>
      </w:r>
    </w:p>
    <w:p>
      <w:pPr>
        <w:spacing w:line="360" w:lineRule="auto" w:after="120"/>
      </w:pPr>
      <w:r/>
    </w:p>
    <w:p>
      <w:pPr>
        <w:spacing w:line="360" w:lineRule="auto" w:after="40"/>
      </w:pPr>
      <w:r>
        <w:t>13. 以下哪一项是赌场和赌博业特有的更广泛风险？ ( )</w:t>
      </w:r>
    </w:p>
    <w:p>
      <w:pPr>
        <w:spacing w:line="360" w:lineRule="auto" w:after="20"/>
        <w:ind w:firstLine="283"/>
      </w:pPr>
      <w:r>
        <w:t>A. 交易阈值低</w:t>
      </w:r>
    </w:p>
    <w:p>
      <w:pPr>
        <w:spacing w:line="360" w:lineRule="auto" w:after="20"/>
        <w:ind w:firstLine="283"/>
      </w:pPr>
      <w:r>
        <w:t>B. 跨境交易</w:t>
      </w:r>
    </w:p>
    <w:p>
      <w:pPr>
        <w:spacing w:line="360" w:lineRule="auto" w:after="20"/>
        <w:ind w:firstLine="283"/>
      </w:pPr>
      <w:r>
        <w:t>C. 客户身份识别政策和程序薄弱</w:t>
      </w:r>
    </w:p>
    <w:p>
      <w:pPr>
        <w:spacing w:line="360" w:lineRule="auto" w:after="20"/>
        <w:ind w:firstLine="283"/>
      </w:pPr>
      <w:r>
        <w:t>D. 频繁使用现金</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识别赌场与赌博业特有的跨司法管辖区风险因素</w:t>
      </w:r>
    </w:p>
    <w:p>
      <w:pPr>
        <w:spacing w:before="120" w:after="40"/>
      </w:pPr>
      <w:r>
        <w:rPr>
          <w:b/>
          <w:sz w:val="21"/>
          <w:shd w:fill="D6E4F0" w:val="clear"/>
        </w:rPr>
        <w:t>核心解析</w:t>
      </w:r>
    </w:p>
    <w:p>
      <w:pPr>
        <w:spacing w:line="360" w:lineRule="auto" w:after="40"/>
        <w:ind w:firstLine="420"/>
      </w:pPr>
      <w:r>
        <w:t>教材在阐述“博彩业风险因素”时明确指出，该行业特有的、更广泛的固有风险包括三个维度：碎片化的监管环境、活动的跨境属性以及准金融服务的提供</w:t>
      </w:r>
      <w:r>
        <w:rPr>
          <w:sz w:val="15"/>
          <w:vertAlign w:val="superscript"/>
        </w:rPr>
        <w:t>P120</w:t>
      </w:r>
      <w:r>
        <w:t>。题干问的是“赌场和赌博业特有的更广泛风险”，其中的“跨境交易”直接对应于教材中“跨境属性”这一风险维度。这种跨境特征源于赌场经营模式本身——国际赌客群体、离岸在线博彩平台、跨国资金流动等，属于行业固有的结构性风险，而非其他行业普遍存在的操作性短板。相比之下，题干其他选项要么是该行业与其他现金密集型行业共有的特征，要么是普遍性的合规薄弱问题。</w:t>
      </w:r>
    </w:p>
    <w:p>
      <w:pPr>
        <w:spacing w:before="120" w:after="40"/>
      </w:pPr>
      <w:r>
        <w:rPr>
          <w:b/>
          <w:sz w:val="21"/>
          <w:shd w:fill="D6E4F0" w:val="clear"/>
        </w:rPr>
        <w:t>教材原句</w:t>
      </w:r>
    </w:p>
    <w:p>
      <w:pPr>
        <w:spacing w:line="360" w:lineRule="auto" w:after="40"/>
        <w:ind w:firstLine="420"/>
      </w:pPr>
      <w:r>
        <w:t>"These include risks associated with a fragmented regulatory environment, the cross-border nature of activities, and the offering of quasi-financial services."</w:t>
      </w:r>
    </w:p>
    <w:p>
      <w:pPr>
        <w:spacing w:before="120" w:after="40"/>
      </w:pPr>
      <w:r>
        <w:rPr>
          <w:b/>
          <w:sz w:val="21"/>
          <w:shd w:fill="D6E4F0" w:val="clear"/>
        </w:rPr>
        <w:t>A项错误</w:t>
      </w:r>
    </w:p>
    <w:p>
      <w:pPr>
        <w:spacing w:line="360" w:lineRule="auto" w:after="40"/>
        <w:ind w:firstLine="420"/>
      </w:pPr>
      <w:r>
        <w:t>题干未提及赌场或赌博业的“交易阈值”设定标准。“低阈值”也不是该行业独有风险——各行业、各类金融机构的交易监控阈值均由自身风险偏好和监管要求决定，不同司法管辖区、不同运营商之间阈值差异巨大，不足以作为赌场“特有的”风险。相比之下，教材列出的跨境属性更具行业辨识度。</w:t>
      </w:r>
    </w:p>
    <w:p>
      <w:pPr>
        <w:spacing w:before="120" w:after="40"/>
      </w:pPr>
      <w:r>
        <w:rPr>
          <w:b/>
          <w:sz w:val="21"/>
          <w:shd w:fill="D6E4F0" w:val="clear"/>
        </w:rPr>
        <w:t>C项错误</w:t>
      </w:r>
    </w:p>
    <w:p>
      <w:pPr>
        <w:spacing w:line="360" w:lineRule="auto" w:after="40"/>
        <w:ind w:firstLine="420"/>
      </w:pPr>
      <w:r>
        <w:t>教材将“薄弱的检查程序”和“不足的记录保存”等弱点归入自由贸易区（FTZ）的系统性缺陷</w:t>
      </w:r>
      <w:r>
        <w:rPr>
          <w:sz w:val="15"/>
          <w:vertAlign w:val="superscript"/>
        </w:rPr>
        <w:t>P133</w:t>
      </w:r>
      <w:r>
        <w:t>，并由FATF指出。薄弱的KYC政策是反洗钱合规体系的普遍问题，并非赌场行业“特有”——银行、律所、房地产等行业同样面临这一风险。题干更直接匹配教材为博彩业界定的跨境风险维度。</w:t>
      </w:r>
    </w:p>
    <w:p>
      <w:pPr>
        <w:spacing w:before="120" w:after="40"/>
      </w:pPr>
      <w:r>
        <w:rPr>
          <w:b/>
          <w:sz w:val="21"/>
          <w:shd w:fill="D6E4F0" w:val="clear"/>
        </w:rPr>
        <w:t>D项错误</w:t>
      </w:r>
    </w:p>
    <w:p>
      <w:pPr>
        <w:spacing w:line="360" w:lineRule="auto" w:after="40"/>
        <w:ind w:firstLine="420"/>
      </w:pPr>
      <w:r>
        <w:t>“频繁使用现金”确实是赌场的显著特征，教材举例赌场和汽车经销商等现金密集型行业处理大额现金交易</w:t>
      </w:r>
      <w:r>
        <w:rPr>
          <w:sz w:val="15"/>
          <w:vertAlign w:val="superscript"/>
        </w:rPr>
        <w:t>P65</w:t>
      </w:r>
      <w:r>
        <w:t>。但这一风险因素并非赌场“特有”——教材在同一段落中同时列举餐馆、便利店、美甲店等其他现金密集型行业</w:t>
      </w:r>
      <w:r>
        <w:rPr>
          <w:sz w:val="15"/>
          <w:vertAlign w:val="superscript"/>
        </w:rPr>
        <w:t>P65</w:t>
      </w:r>
      <w:r>
        <w:t>，说明频繁使用现金是这些行业共有的风险，而非赌场的排他性特征。题干问的是“特有的”（specific to），跨境属性更符合这一限定。</w:t>
      </w:r>
    </w:p>
    <w:p>
      <w:pPr>
        <w:spacing w:before="120" w:after="40"/>
      </w:pPr>
      <w:r>
        <w:rPr>
          <w:b/>
          <w:sz w:val="21"/>
          <w:shd w:fill="D6E4F0" w:val="clear"/>
        </w:rPr>
        <w:t>易错提醒</w:t>
      </w:r>
    </w:p>
    <w:p>
      <w:pPr>
        <w:spacing w:line="360" w:lineRule="auto" w:after="40"/>
        <w:ind w:firstLine="420"/>
      </w:pPr>
      <w:r>
        <w:t>“频繁使用现金”与“跨境交易”的关键区分在于排他性。教材将赌场列为现金密集型行业之一，与其他行业共享这一特征</w:t>
      </w:r>
      <w:r>
        <w:rPr>
          <w:sz w:val="15"/>
          <w:vertAlign w:val="superscript"/>
        </w:rPr>
        <w:t>P65</w:t>
      </w:r>
      <w:r>
        <w:t>；而“跨境属性”被教材单独界定为博彩业内生的三大风险维度之一</w:t>
      </w:r>
      <w:r>
        <w:rPr>
          <w:sz w:val="15"/>
          <w:vertAlign w:val="superscript"/>
        </w:rPr>
        <w:t>P120</w:t>
      </w:r>
      <w:r>
        <w:t>，具有行业专属的结构性根源。判断“特有的”风险时，应看该风险因子是否源于行业独特的业务模式，而非多个行业的共同特征。</w:t>
      </w:r>
    </w:p>
    <w:p>
      <w:pPr>
        <w:spacing w:line="360" w:lineRule="auto" w:after="120"/>
      </w:pPr>
      <w:r/>
    </w:p>
    <w:p>
      <w:pPr>
        <w:spacing w:line="360" w:lineRule="auto" w:after="40"/>
      </w:pPr>
      <w:r>
        <w:t>14. 在房地产领域洗钱的置入阶段,可以采用哪种方法？ ( )</w:t>
      </w:r>
    </w:p>
    <w:p>
      <w:pPr>
        <w:spacing w:line="360" w:lineRule="auto" w:after="20"/>
        <w:ind w:firstLine="283"/>
      </w:pPr>
      <w:r>
        <w:t>A. 通过网上银行向一家媒体公司支付用于房产营销的发票款项</w:t>
      </w:r>
    </w:p>
    <w:p>
      <w:pPr>
        <w:spacing w:line="360" w:lineRule="auto" w:after="20"/>
        <w:ind w:firstLine="283"/>
      </w:pPr>
      <w:r>
        <w:t>B. 利用注册信托转移所有权</w:t>
      </w:r>
    </w:p>
    <w:p>
      <w:pPr>
        <w:spacing w:line="360" w:lineRule="auto" w:after="20"/>
        <w:ind w:firstLine="283"/>
      </w:pPr>
      <w:r>
        <w:t>C. 用现金购买房产</w:t>
      </w:r>
    </w:p>
    <w:p>
      <w:pPr>
        <w:spacing w:line="360" w:lineRule="auto" w:after="20"/>
        <w:ind w:firstLine="283"/>
      </w:pPr>
      <w:r>
        <w:t>D. 在购入房产后迅速将其重新投放市场</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识别房地产场景下的 placement 阶段特征</w:t>
      </w:r>
    </w:p>
    <w:p>
      <w:pPr>
        <w:spacing w:before="120" w:after="40"/>
      </w:pPr>
      <w:r>
        <w:rPr>
          <w:b/>
          <w:sz w:val="21"/>
          <w:shd w:fill="D6E4F0" w:val="clear"/>
        </w:rPr>
        <w:t>核心解析</w:t>
      </w:r>
    </w:p>
    <w:p>
      <w:pPr>
        <w:spacing w:line="360" w:lineRule="auto" w:after="40"/>
        <w:ind w:firstLine="420"/>
      </w:pPr>
      <w:r>
        <w:t>洗钱三阶段中，置入阶段（Placement）的核心是将犯罪产生的“脏钱”首次投入金融系统或购买资产，使其进入合法流通渠道</w:t>
      </w:r>
      <w:r>
        <w:rPr>
          <w:sz w:val="15"/>
          <w:vertAlign w:val="superscript"/>
        </w:rPr>
        <w:t>P16</w:t>
      </w:r>
      <w:r>
        <w:t>。在房地产领域，用现金购买房产是直接将非法资金转化为实体资产，吻合置入阶段的行为特征。教材将“全部或主要用现金支付的买家”列为房地产洗钱的典型危险信号</w:t>
      </w:r>
      <w:r>
        <w:rPr>
          <w:sz w:val="15"/>
          <w:vertAlign w:val="superscript"/>
        </w:rPr>
        <w:t>P122</w:t>
      </w:r>
      <w:r>
        <w:t>，进一步印证了该行为的高度匹配性。相比之下，选项A、B、D分别对应离析阶段（Layering）或融合阶段（Integration）的行为特征，与题干要求的“置入阶段”不直接匹配。</w:t>
      </w:r>
    </w:p>
    <w:p>
      <w:pPr>
        <w:spacing w:before="120" w:after="40"/>
      </w:pPr>
      <w:r>
        <w:rPr>
          <w:b/>
          <w:sz w:val="21"/>
          <w:shd w:fill="D6E4F0" w:val="clear"/>
        </w:rPr>
        <w:t>教材原句</w:t>
      </w:r>
    </w:p>
    <w:p>
      <w:pPr>
        <w:spacing w:line="360" w:lineRule="auto" w:after="40"/>
        <w:ind w:firstLine="420"/>
      </w:pPr>
      <w:r>
        <w:t>"Red flags include buyers who pay entirely or primarily in cash, particularly in regions where bank financing is the norm."</w:t>
      </w:r>
    </w:p>
    <w:p>
      <w:pPr>
        <w:spacing w:before="120" w:after="40"/>
      </w:pPr>
      <w:r>
        <w:rPr>
          <w:b/>
          <w:sz w:val="21"/>
          <w:shd w:fill="D6E4F0" w:val="clear"/>
        </w:rPr>
        <w:t>A项错误</w:t>
      </w:r>
    </w:p>
    <w:p>
      <w:pPr>
        <w:spacing w:line="360" w:lineRule="auto" w:after="40"/>
        <w:ind w:firstLine="420"/>
      </w:pPr>
      <w:r>
        <w:t>“支付虚假发票”是教材明确列出的离析阶段（Layering）例子</w:t>
      </w:r>
      <w:r>
        <w:rPr>
          <w:sz w:val="15"/>
          <w:vertAlign w:val="superscript"/>
        </w:rPr>
        <w:t>P16</w:t>
      </w:r>
      <w:r>
        <w:t>，其目的是掩盖资金来源，而非将非法资金首次投入系统。题干更直接支持置入阶段的现金购买行为。</w:t>
      </w:r>
    </w:p>
    <w:p>
      <w:pPr>
        <w:spacing w:before="120" w:after="40"/>
      </w:pPr>
      <w:r>
        <w:rPr>
          <w:b/>
          <w:sz w:val="21"/>
          <w:shd w:fill="D6E4F0" w:val="clear"/>
        </w:rPr>
        <w:t>B项错误</w:t>
      </w:r>
    </w:p>
    <w:p>
      <w:pPr>
        <w:spacing w:line="360" w:lineRule="auto" w:after="40"/>
        <w:ind w:firstLine="420"/>
      </w:pPr>
      <w:r>
        <w:t>虽然利用信托、壳公司等结构隐瞒所有权是房地产洗钱的常见手段，但它主要用于离析或融合阶段，旨在隐藏真实受益人</w:t>
      </w:r>
      <w:r>
        <w:rPr>
          <w:sz w:val="15"/>
          <w:vertAlign w:val="superscript"/>
        </w:rPr>
        <w:t>P119、P121</w:t>
      </w:r>
      <w:r>
        <w:t>。题干问的是“置入阶段”，直接使用现金购买的匹配度更高。</w:t>
      </w:r>
    </w:p>
    <w:p>
      <w:pPr>
        <w:spacing w:before="120" w:after="40"/>
      </w:pPr>
      <w:r>
        <w:rPr>
          <w:b/>
          <w:sz w:val="21"/>
          <w:shd w:fill="D6E4F0" w:val="clear"/>
        </w:rPr>
        <w:t>D项错误</w:t>
      </w:r>
    </w:p>
    <w:p>
      <w:pPr>
        <w:spacing w:line="360" w:lineRule="auto" w:after="40"/>
        <w:ind w:firstLine="420"/>
      </w:pPr>
      <w:r>
        <w:t>“快速转手”属于洗钱融合阶段（Integration）的变现行为，即通过出售资产实现合法收益</w:t>
      </w:r>
      <w:r>
        <w:rPr>
          <w:sz w:val="15"/>
          <w:vertAlign w:val="superscript"/>
        </w:rPr>
        <w:t>P121、P122</w:t>
      </w:r>
      <w:r>
        <w:t>。题干要求的是将非法资金引入系统的方法，而非事后退出变现的行为。</w:t>
      </w:r>
    </w:p>
    <w:p>
      <w:pPr>
        <w:spacing w:before="120" w:after="40"/>
      </w:pPr>
      <w:r>
        <w:rPr>
          <w:b/>
          <w:sz w:val="21"/>
          <w:shd w:fill="D6E4F0" w:val="clear"/>
        </w:rPr>
        <w:t>易错提醒</w:t>
      </w:r>
    </w:p>
    <w:p>
      <w:pPr>
        <w:spacing w:line="360" w:lineRule="auto" w:after="40"/>
        <w:ind w:firstLine="420"/>
      </w:pPr>
      <w:r>
        <w:t>信托能分离资产的法定所有权与控制权</w:t>
      </w:r>
      <w:r>
        <w:rPr>
          <w:sz w:val="15"/>
          <w:vertAlign w:val="superscript"/>
        </w:rPr>
        <w:t>P73</w:t>
      </w:r>
      <w:r>
        <w:t>，常被误当作置入工具，但它本身是“隐藏所有权”的离析或融合手段；而置入阶段的核心是把“脏钱”变成“资产”，用现金直接购买是第一步。</w:t>
      </w:r>
    </w:p>
    <w:p>
      <w:pPr>
        <w:spacing w:line="360" w:lineRule="auto" w:after="120"/>
      </w:pPr>
      <w:r/>
    </w:p>
    <w:p>
      <w:pPr>
        <w:spacing w:line="360" w:lineRule="auto" w:after="40"/>
      </w:pPr>
      <w:r>
        <w:t>15. 以下哪项陈述最能描述与守门人相关的金融犯罪风险？ ( )</w:t>
      </w:r>
    </w:p>
    <w:p>
      <w:pPr>
        <w:spacing w:line="360" w:lineRule="auto" w:after="20"/>
        <w:ind w:firstLine="283"/>
      </w:pPr>
      <w:r>
        <w:t>A. 门卫掌握着专门的知识,这些知识可能被滥用,从而为非法资金的流动提供便利,并掩盖其客户参与非法活动的事实.</w:t>
      </w:r>
    </w:p>
    <w:p>
      <w:pPr>
        <w:spacing w:line="360" w:lineRule="auto" w:after="20"/>
        <w:ind w:firstLine="283"/>
      </w:pPr>
      <w:r>
        <w:t>B. 门卫职位具有隐秘性,这往往使得其财</w:t>
      </w:r>
    </w:p>
    <w:p>
      <w:pPr>
        <w:spacing w:line="360" w:lineRule="auto" w:after="20"/>
        <w:ind w:firstLine="283"/>
      </w:pPr>
      <w:r>
        <w:t>C. 门卫人员具有独特的关系结构,这使得确定最终受益人变得困难.</w:t>
      </w:r>
    </w:p>
    <w:p>
      <w:pPr>
        <w:spacing w:line="360" w:lineRule="auto" w:after="20"/>
        <w:ind w:firstLine="283"/>
      </w:pPr>
      <w:r>
        <w:t>D. 门卫被赋予了重要的职能和行为准则,这可能有助于洗钱活动.</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识别守门人（DNFBP）的核心风险——专业知识被滥用于洗钱</w:t>
      </w:r>
    </w:p>
    <w:p>
      <w:pPr>
        <w:spacing w:before="120" w:after="40"/>
      </w:pPr>
      <w:r>
        <w:rPr>
          <w:b/>
          <w:sz w:val="21"/>
          <w:shd w:fill="D6E4F0" w:val="clear"/>
        </w:rPr>
        <w:t>核心解析</w:t>
      </w:r>
    </w:p>
    <w:p>
      <w:pPr>
        <w:spacing w:line="360" w:lineRule="auto" w:after="40"/>
        <w:ind w:firstLine="420"/>
      </w:pPr>
      <w:r>
        <w:t>DNFBP常被称为“守门人”，充当犯罪分子与金融系统之间的中介</w:t>
      </w:r>
      <w:r>
        <w:rPr>
          <w:sz w:val="15"/>
          <w:vertAlign w:val="superscript"/>
        </w:rPr>
        <w:t>P119</w:t>
      </w:r>
      <w:r>
        <w:t>。守门人的金融犯罪风险根源在于：他们掌握着法律、会计、房地产等领域的专门知识，这些知识一旦被滥用，就能为非法资金的流动提供便利，并掩盖客户参与非法活动的事实。教材指出，若缺乏保障措施，DNFBP容易被犯罪分子利用，通过隐藏非法资金来源、创建法律结构或处理高价值物品来实现洗钱目的</w:t>
      </w:r>
      <w:r>
        <w:rPr>
          <w:sz w:val="15"/>
          <w:vertAlign w:val="superscript"/>
        </w:rPr>
        <w:t>P119</w:t>
      </w:r>
      <w:r>
        <w:t>。选项A直接点出了这一核心风险链条——专业知识（specialized knowledge）→被滥用（abused）→便利资金流动并掩盖参与（facilitate movement and conceal involvement），完整匹配了教材对守门人风险的定义逻辑。其他选项要么偏离了守门人风险的根源（专业知识），要么将风险主体错配给了其他DNFBP子类或中介结构，在匹配度上均不如A项。</w:t>
      </w:r>
    </w:p>
    <w:p>
      <w:pPr>
        <w:spacing w:before="120" w:after="40"/>
      </w:pPr>
      <w:r>
        <w:rPr>
          <w:b/>
          <w:sz w:val="21"/>
          <w:shd w:fill="D6E4F0" w:val="clear"/>
        </w:rPr>
        <w:t>B项错误</w:t>
      </w:r>
    </w:p>
    <w:p>
      <w:pPr>
        <w:spacing w:line="360" w:lineRule="auto" w:after="40"/>
        <w:ind w:firstLine="420"/>
      </w:pPr>
      <w:r>
        <w:t>选项中“隐秘性使得难以验证其财富来源”描述的特性，在教材中更直接对应于现金交易的匿名性风险</w:t>
      </w:r>
      <w:r>
        <w:rPr>
          <w:sz w:val="15"/>
          <w:vertAlign w:val="superscript"/>
        </w:rPr>
        <w:t>P120</w:t>
      </w:r>
      <w:r>
        <w:t>，而非守门人本身的定位风险。题干未将守门人的风险根源指向其职位属性是否隐秘，在教材框架下，正确项对守门人风险的概括更直接。</w:t>
      </w:r>
    </w:p>
    <w:p>
      <w:pPr>
        <w:spacing w:before="120" w:after="40"/>
      </w:pPr>
      <w:r>
        <w:rPr>
          <w:b/>
          <w:sz w:val="21"/>
          <w:shd w:fill="D6E4F0" w:val="clear"/>
        </w:rPr>
        <w:t>C项错误</w:t>
      </w:r>
    </w:p>
    <w:p>
      <w:pPr>
        <w:spacing w:line="360" w:lineRule="auto" w:after="40"/>
        <w:ind w:firstLine="420"/>
      </w:pPr>
      <w:r>
        <w:t>“独特的关系结构导致难以确定最终受益人”在教材中对应的是信托或公司服务提供商设立的结构</w:t>
      </w:r>
      <w:r>
        <w:rPr>
          <w:sz w:val="15"/>
          <w:vertAlign w:val="superscript"/>
        </w:rPr>
        <w:t>P120</w:t>
      </w:r>
      <w:r>
        <w:t>，而非守门人群体整体的风险特征。正确项聚焦于守门人的专业知识被滥用，比将特定子类的结构风险上升为整体描述更准确。</w:t>
      </w:r>
    </w:p>
    <w:p>
      <w:pPr>
        <w:spacing w:before="120" w:after="40"/>
      </w:pPr>
      <w:r>
        <w:rPr>
          <w:b/>
          <w:sz w:val="21"/>
          <w:shd w:fill="D6E4F0" w:val="clear"/>
        </w:rPr>
        <w:t>D项错误</w:t>
      </w:r>
    </w:p>
    <w:p>
      <w:pPr>
        <w:spacing w:line="360" w:lineRule="auto" w:after="40"/>
        <w:ind w:firstLine="420"/>
      </w:pPr>
      <w:r>
        <w:t>该选项将守门人被赋予的“重要职能和行为准则”本身描述为可能有助于洗钱，但教材对守门人风险的分析落脚点在于其专业知识被犯罪分子利用，而非职能与准则本身构成洗钱便利。正确项更吻合教材对守门人风险根源的定位——专门知识被滥用。</w:t>
      </w:r>
    </w:p>
    <w:p>
      <w:pPr>
        <w:spacing w:before="120" w:after="40"/>
      </w:pPr>
      <w:r>
        <w:rPr>
          <w:b/>
          <w:sz w:val="21"/>
          <w:shd w:fill="D6E4F0" w:val="clear"/>
        </w:rPr>
        <w:t>易错提醒</w:t>
      </w:r>
    </w:p>
    <w:p>
      <w:pPr>
        <w:spacing w:line="360" w:lineRule="auto" w:after="40"/>
        <w:ind w:firstLine="420"/>
      </w:pPr>
      <w:r>
        <w:t>区分守门人风险的不同层面：①专业知识被滥用（A项，核心根源）；②其服务产生的结构本身掩盖受益人（C项，属于信托/公司服务提供商的特有风险，非全体守门人）；③职能本身成为洗钱便利（D项，教材未将职能本身定性为风险，风险在于缺乏保障措施时被利用）。</w:t>
      </w:r>
    </w:p>
    <w:p>
      <w:pPr>
        <w:spacing w:line="360" w:lineRule="auto" w:after="120"/>
      </w:pPr>
      <w:r/>
    </w:p>
    <w:p>
      <w:pPr>
        <w:spacing w:line="360" w:lineRule="auto" w:after="40"/>
      </w:pPr>
      <w:r>
        <w:t>16. 信托和公司服务提供商（TCSP）应通过以下方式应对洗钱风险：（选择三项。） ( )</w:t>
      </w:r>
    </w:p>
    <w:p>
      <w:pPr>
        <w:spacing w:line="360" w:lineRule="auto" w:after="20"/>
        <w:ind w:firstLine="283"/>
      </w:pPr>
      <w:r>
        <w:t>A. 在为客户处理交易时建立双重控制和质量保证措施</w:t>
      </w:r>
    </w:p>
    <w:p>
      <w:pPr>
        <w:spacing w:line="360" w:lineRule="auto" w:after="20"/>
        <w:ind w:firstLine="283"/>
      </w:pPr>
      <w:r>
        <w:t>B. 考虑当客户通过位于另一司法管辖区的另一家信托和公司服务提供商（TCSP）下达指令时，可能需要采取哪些额外的保障措施</w:t>
      </w:r>
    </w:p>
    <w:p>
      <w:pPr>
        <w:spacing w:line="360" w:lineRule="auto" w:after="20"/>
        <w:ind w:firstLine="283"/>
      </w:pPr>
      <w:r>
        <w:t>C. 要求客户完成并向所在司法管辖区的金融情报机构（FIU）提交反洗钱风险自我评估表</w:t>
      </w:r>
    </w:p>
    <w:p>
      <w:pPr>
        <w:spacing w:line="360" w:lineRule="auto" w:after="20"/>
        <w:ind w:firstLine="283"/>
      </w:pPr>
      <w:r>
        <w:t>D. 从客户处收集并记录信息，以了解法律实体的目的，以及管理人员和最终受益所有人的身份。</w:t>
      </w:r>
    </w:p>
    <w:p>
      <w:pPr>
        <w:spacing w:line="360" w:lineRule="auto" w:after="20"/>
        <w:ind w:firstLine="283"/>
      </w:pPr>
      <w:r>
        <w:t>E. 建立相关程序，以记录信托公司作为客户注册代表的依据，并保存相关参与记录</w:t>
      </w:r>
    </w:p>
    <w:p>
      <w:pPr>
        <w:spacing w:line="360" w:lineRule="auto" w:after="20"/>
        <w:ind w:firstLine="283"/>
      </w:pPr>
      <w:r>
        <w:t>F. 对客户进行现场评估以审查其内部控制措施</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TCSP 反洗钱风险控制：受益所有权识别、跨境保障与名义服务记录保存</w:t>
      </w:r>
    </w:p>
    <w:p>
      <w:pPr>
        <w:spacing w:before="120" w:after="40"/>
      </w:pPr>
      <w:r>
        <w:rPr>
          <w:b/>
          <w:sz w:val="21"/>
          <w:shd w:fill="D6E4F0" w:val="clear"/>
        </w:rPr>
        <w:t>核心解析</w:t>
      </w:r>
    </w:p>
    <w:p>
      <w:pPr>
        <w:spacing w:line="360" w:lineRule="auto" w:after="40"/>
        <w:ind w:firstLine="420"/>
      </w:pPr>
      <w:r>
        <w:t>教材指出，TCSP 常提供名义服务（如代名董事/股东），并与离岸公司结构相结合，易被用于掩盖最终受益所有人身份和资金来源（P126-P127）。因此，应对洗钱风险需实施三项措施：①识别法律实体的真实目的、管理人员和最终受益所有人，这符合识别受益所有人的客户尽职调查义务</w:t>
      </w:r>
      <w:r>
        <w:rPr>
          <w:sz w:val="15"/>
          <w:vertAlign w:val="superscript"/>
        </w:rPr>
        <w:t>P76、P245</w:t>
      </w:r>
      <w:r>
        <w:t>；②当客户指令通过另一司法管辖区的 TCSP 下达时，考虑额外保障措施，因为离岸地区可能 AML 监管薄弱、公开记录有限</w:t>
      </w:r>
      <w:r>
        <w:rPr>
          <w:sz w:val="15"/>
          <w:vertAlign w:val="superscript"/>
        </w:rPr>
        <w:t>P127</w:t>
      </w:r>
      <w:r>
        <w:t>；③建立程序记录 TCSP 作为客户注册代表（如名义董事/秘书）的依据并保存参与记录，以防范名义结构被滥用而隐藏受益所有人，避免因缺乏公司记录尽职调查导致洗钱（P126-P127）。三者直接对准 TCSP 特有的风险领域。</w:t>
      </w:r>
    </w:p>
    <w:p>
      <w:pPr>
        <w:spacing w:before="120" w:after="40"/>
      </w:pPr>
      <w:r>
        <w:rPr>
          <w:b/>
          <w:sz w:val="21"/>
          <w:shd w:fill="D6E4F0" w:val="clear"/>
        </w:rPr>
        <w:t>教材原句</w:t>
      </w:r>
    </w:p>
    <w:p>
      <w:pPr>
        <w:spacing w:line="360" w:lineRule="auto" w:after="40"/>
        <w:ind w:firstLine="420"/>
      </w:pPr>
      <w:r>
        <w:t>"A lack of due diligence in maintaining company records or supporting corporate governance processes could enable criminals to obscure UBO identities, unwittingly facilitating illicit activities."</w:t>
      </w:r>
    </w:p>
    <w:p>
      <w:pPr>
        <w:spacing w:before="120" w:after="40"/>
      </w:pPr>
      <w:r>
        <w:rPr>
          <w:b/>
          <w:sz w:val="21"/>
          <w:shd w:fill="D6E4F0" w:val="clear"/>
        </w:rPr>
        <w:t>A项错误</w:t>
      </w:r>
    </w:p>
    <w:p>
      <w:pPr>
        <w:spacing w:line="360" w:lineRule="auto" w:after="40"/>
        <w:ind w:firstLine="420"/>
      </w:pPr>
      <w:r>
        <w:t>双重控制和质量保证属于机构内部操作层面的控制机制</w:t>
      </w:r>
      <w:r>
        <w:rPr>
          <w:sz w:val="15"/>
          <w:vertAlign w:val="superscript"/>
        </w:rPr>
        <w:t>P249</w:t>
      </w:r>
      <w:r>
        <w:t>，并非直接针对 TCSP 行业特有的名义服务和离岸结构风险。相比之下，B、D、E 更直接匹配教材描述的 TCSP 风险领域。</w:t>
      </w:r>
    </w:p>
    <w:p>
      <w:pPr>
        <w:spacing w:before="120" w:after="40"/>
      </w:pPr>
      <w:r>
        <w:rPr>
          <w:b/>
          <w:sz w:val="21"/>
          <w:shd w:fill="D6E4F0" w:val="clear"/>
        </w:rPr>
        <w:t>C项错误</w:t>
      </w:r>
    </w:p>
    <w:p>
      <w:pPr>
        <w:spacing w:line="360" w:lineRule="auto" w:after="40"/>
        <w:ind w:firstLine="420"/>
      </w:pPr>
      <w:r>
        <w:t>向 FIU 报告可疑交易是 DNFBP 的义务（P148-149），但要求客户自行完成并提交 AML 风险自我评估表并非教材规定的 TCSP 措施，题干未支持该做法与应对洗钱风险的直接关联。</w:t>
      </w:r>
    </w:p>
    <w:p>
      <w:pPr>
        <w:spacing w:line="360" w:lineRule="auto" w:after="40"/>
        <w:ind w:firstLine="420"/>
      </w:pPr>
      <w:r>
        <w:t>F项错误：对客户进行现场评估审查其内部控制，更像是金融机构对高风险客户采取的强化措施</w:t>
      </w:r>
      <w:r>
        <w:rPr>
          <w:sz w:val="15"/>
          <w:vertAlign w:val="superscript"/>
        </w:rPr>
        <w:t>P313</w:t>
      </w:r>
      <w:r>
        <w:t>，而非 TCSP 作为 DNFBP 自身应对洗钱风险的核心方式。相比记录自身名义服务依据和进行客户尽职调查，此做法与教材所描述的 TCSP 角色匹配度较低。</w:t>
      </w:r>
    </w:p>
    <w:p>
      <w:pPr>
        <w:spacing w:line="360" w:lineRule="auto" w:after="120"/>
      </w:pPr>
      <w:r/>
    </w:p>
    <w:p>
      <w:pPr>
        <w:spacing w:line="360" w:lineRule="auto" w:after="40"/>
      </w:pPr>
      <w:r>
        <w:t>17. 与房地产交易相关的风险包括(选择两项.) ( )</w:t>
      </w:r>
    </w:p>
    <w:p>
      <w:pPr>
        <w:spacing w:line="360" w:lineRule="auto" w:after="20"/>
        <w:ind w:firstLine="283"/>
      </w:pPr>
      <w:r>
        <w:t>A. 跨境购物.</w:t>
      </w:r>
    </w:p>
    <w:p>
      <w:pPr>
        <w:spacing w:line="360" w:lineRule="auto" w:after="20"/>
        <w:ind w:firstLine="283"/>
      </w:pPr>
      <w:r>
        <w:t>B. 以自然人名义进行的采购.</w:t>
      </w:r>
    </w:p>
    <w:p>
      <w:pPr>
        <w:spacing w:line="360" w:lineRule="auto" w:after="20"/>
        <w:ind w:firstLine="283"/>
      </w:pPr>
      <w:r>
        <w:t>C. 以真实的市场价格购买房产</w:t>
      </w:r>
    </w:p>
    <w:p>
      <w:pPr>
        <w:spacing w:line="360" w:lineRule="auto" w:after="20"/>
        <w:ind w:firstLine="283"/>
      </w:pPr>
      <w:r>
        <w:t>D. 未融资采购.</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识别跨境交易与代他人掩盖资金来源的房地产风险特征</w:t>
      </w:r>
    </w:p>
    <w:p>
      <w:pPr>
        <w:spacing w:before="120" w:after="40"/>
      </w:pPr>
      <w:r>
        <w:rPr>
          <w:b/>
          <w:sz w:val="21"/>
          <w:shd w:fill="D6E4F0" w:val="clear"/>
        </w:rPr>
        <w:t>核心解析</w:t>
      </w:r>
    </w:p>
    <w:p>
      <w:pPr>
        <w:spacing w:line="360" w:lineRule="auto" w:after="40"/>
        <w:ind w:firstLine="420"/>
      </w:pPr>
      <w:r>
        <w:t>风险在此题中指某项交易特征是否更易被用于隐藏非法资金或掩盖资金来源。教材指出两方面关键风险：一是“房地产市场的全球性使检测更加复杂，国际买家和跨境交易可以掩盖非法活动”</w:t>
      </w:r>
      <w:r>
        <w:rPr>
          <w:sz w:val="15"/>
          <w:vertAlign w:val="superscript"/>
        </w:rPr>
        <w:t>P122</w:t>
      </w:r>
      <w:r>
        <w:t>，二是“大额现金购买缺乏明确资金来源或充足证明文件”构成红旗信号</w:t>
      </w:r>
      <w:r>
        <w:rPr>
          <w:sz w:val="15"/>
          <w:vertAlign w:val="superscript"/>
        </w:rPr>
        <w:t>P128</w:t>
      </w:r>
      <w:r>
        <w:t>。选项A“跨境购物”直接触碰第一类风险——资金从另一司法管辖区进入，追踪链条断裂，跨境掩盖效应显现。选项D“未融资采购”则对应第二类——不通过银行贷款，意味着绕开金融机构的客户尽调和资金来源审查，使资金性质更难被核实。两者的共通点在于都使“钱从哪来”这个核心问题变得更难回答，因此正好落在教材所描述的风险区间内。</w:t>
      </w:r>
    </w:p>
    <w:p>
      <w:pPr>
        <w:spacing w:before="120" w:after="40"/>
      </w:pPr>
      <w:r>
        <w:rPr>
          <w:b/>
          <w:sz w:val="21"/>
          <w:shd w:fill="D6E4F0" w:val="clear"/>
        </w:rPr>
        <w:t>教材原句</w:t>
      </w:r>
    </w:p>
    <w:p>
      <w:pPr>
        <w:spacing w:line="360" w:lineRule="auto" w:after="40"/>
        <w:ind w:firstLine="420"/>
      </w:pPr>
      <w:r>
        <w:t>"The global nature of the real estate market further complicates detection efforts. International buyers and cross-border transactions can mask illicit activities."</w:t>
      </w:r>
    </w:p>
    <w:p>
      <w:pPr>
        <w:spacing w:before="120" w:after="40"/>
      </w:pPr>
      <w:r>
        <w:rPr>
          <w:b/>
          <w:sz w:val="21"/>
          <w:shd w:fill="D6E4F0" w:val="clear"/>
        </w:rPr>
        <w:t>B项错误</w:t>
      </w:r>
    </w:p>
    <w:p>
      <w:pPr>
        <w:spacing w:line="360" w:lineRule="auto" w:after="40"/>
        <w:ind w:firstLine="420"/>
      </w:pPr>
      <w:r>
        <w:t>教材将“由公司、信托或代名人购买房产且无合理解释”列为红旗信号</w:t>
      </w:r>
      <w:r>
        <w:rPr>
          <w:sz w:val="15"/>
          <w:vertAlign w:val="superscript"/>
        </w:rPr>
        <w:t>P121</w:t>
      </w:r>
      <w:r>
        <w:t>，暗示通过中介实体隐藏身份才是风险所在。以自然人自己的名义购买恰好相反——它反而更能促进权属透明，因此在教材框架下不如A和D那样直接匹配风险定义。</w:t>
      </w:r>
    </w:p>
    <w:p>
      <w:pPr>
        <w:spacing w:before="120" w:after="40"/>
      </w:pPr>
      <w:r>
        <w:rPr>
          <w:b/>
          <w:sz w:val="21"/>
          <w:shd w:fill="D6E4F0" w:val="clear"/>
        </w:rPr>
        <w:t>C项错误</w:t>
      </w:r>
    </w:p>
    <w:p>
      <w:pPr>
        <w:spacing w:line="360" w:lineRule="auto" w:after="40"/>
        <w:ind w:firstLine="420"/>
      </w:pPr>
      <w:r>
        <w:t>教材指出房地产洗钱的手段之一是“虚增房产价值”</w:t>
      </w:r>
      <w:r>
        <w:rPr>
          <w:sz w:val="15"/>
          <w:vertAlign w:val="superscript"/>
        </w:rPr>
        <w:t>P119</w:t>
      </w:r>
      <w:r>
        <w:t>，即偏离真实市价的定价才构成风险指示。题干所述的“以真实市场价格购买”本身就缺乏价格操纵这一风险要素，相比之下与教材描述的风险行为匹配度明显更低。</w:t>
      </w:r>
    </w:p>
    <w:p>
      <w:pPr>
        <w:spacing w:before="120" w:after="40"/>
      </w:pPr>
      <w:r>
        <w:rPr>
          <w:b/>
          <w:sz w:val="21"/>
          <w:shd w:fill="D6E4F0" w:val="clear"/>
        </w:rPr>
        <w:t>易错提醒</w:t>
      </w:r>
    </w:p>
    <w:p>
      <w:pPr>
        <w:spacing w:line="360" w:lineRule="auto" w:after="40"/>
        <w:ind w:firstLine="420"/>
      </w:pPr>
      <w:r>
        <w:t>自然人购买不等于无风险——教材的风险信号是“由公司、信托或代名人购买且无合理解释”</w:t>
      </w:r>
      <w:r>
        <w:rPr>
          <w:sz w:val="15"/>
          <w:vertAlign w:val="superscript"/>
        </w:rPr>
        <w:t>P121</w:t>
      </w:r>
      <w:r>
        <w:t>，重点在于隐藏真正受益人，而非一概排斥自然人。但自然人直接购买时权属清晰，相比通过中间实体隐藏身份，其风险匹配度明显低于跨境交易或未融资采购。</w:t>
      </w:r>
    </w:p>
    <w:p>
      <w:pPr>
        <w:spacing w:line="360" w:lineRule="auto" w:after="120"/>
      </w:pPr>
      <w:r/>
    </w:p>
    <w:p>
      <w:pPr>
        <w:spacing w:line="360" w:lineRule="auto" w:after="40"/>
      </w:pPr>
      <w:r>
        <w:t>18. 以下哪些是与房地产公司相关的重大金融犯罪风险？(选择四项.) ( )</w:t>
      </w:r>
    </w:p>
    <w:p>
      <w:pPr>
        <w:spacing w:line="360" w:lineRule="auto" w:after="20"/>
        <w:ind w:firstLine="283"/>
      </w:pPr>
      <w:r>
        <w:t>A. 购买房产能够在一笔交易中实现大额资金的流动.</w:t>
      </w:r>
    </w:p>
    <w:p>
      <w:pPr>
        <w:spacing w:line="360" w:lineRule="auto" w:after="20"/>
        <w:ind w:firstLine="283"/>
      </w:pPr>
      <w:r>
        <w:t>B. 制毒团伙可能会购置房产用作供应站或种植、制造、分销非法毒品的场所.</w:t>
      </w:r>
    </w:p>
    <w:p>
      <w:pPr>
        <w:spacing w:line="360" w:lineRule="auto" w:after="20"/>
        <w:ind w:firstLine="283"/>
      </w:pPr>
      <w:r>
        <w:t>C. 市场可能波动不定,买家可能无法获得丰厚的投资回报.</w:t>
      </w:r>
    </w:p>
    <w:p>
      <w:pPr>
        <w:spacing w:line="360" w:lineRule="auto" w:after="20"/>
        <w:ind w:firstLine="283"/>
      </w:pPr>
      <w:r>
        <w:t>D. 实益所有权信息可能不透明,犯罪分子可能会滥用空壳公司和信托等安排.</w:t>
      </w:r>
    </w:p>
    <w:p>
      <w:pPr>
        <w:spacing w:line="360" w:lineRule="auto" w:after="20"/>
        <w:ind w:firstLine="283"/>
      </w:pPr>
      <w:r>
        <w:t>E. 房地产交易通常涉及金融机构和其他专业把关人</w:t>
      </w:r>
    </w:p>
    <w:p>
      <w:pPr>
        <w:spacing w:line="360" w:lineRule="auto" w:after="20"/>
        <w:ind w:firstLine="283"/>
      </w:pPr>
      <w:r>
        <w:t>F. 房产的高价值可能需要多种类型的融</w:t>
      </w:r>
    </w:p>
    <w:p>
      <w:pPr>
        <w:spacing w:line="360" w:lineRule="auto" w:after="40"/>
      </w:pPr>
      <w:r>
        <w:t>答案:A、B、D、E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识别房地产行业固有的洗钱风险特征</w:t>
      </w:r>
    </w:p>
    <w:p>
      <w:pPr>
        <w:spacing w:before="120" w:after="40"/>
      </w:pPr>
      <w:r>
        <w:rPr>
          <w:b/>
          <w:sz w:val="21"/>
          <w:shd w:fill="D6E4F0" w:val="clear"/>
        </w:rPr>
        <w:t>核心解析</w:t>
      </w:r>
    </w:p>
    <w:p>
      <w:pPr>
        <w:spacing w:line="360" w:lineRule="auto" w:after="40"/>
        <w:ind w:firstLine="420"/>
      </w:pPr>
      <w:r>
        <w:t>房地产行业因交易金额大、资产有形，固有洗钱风险</w:t>
      </w:r>
      <w:r>
        <w:rPr>
          <w:sz w:val="15"/>
          <w:vertAlign w:val="superscript"/>
        </w:rPr>
        <w:t>P121</w:t>
      </w:r>
      <w:r>
        <w:t>。犯罪分子可将非法资金融入合法经济，利用房产在一笔交易中转移大额资金</w:t>
      </w:r>
      <w:r>
        <w:rPr>
          <w:sz w:val="15"/>
          <w:vertAlign w:val="superscript"/>
        </w:rPr>
        <w:t>P121</w:t>
      </w:r>
      <w:r>
        <w:t>。房产可被制毒团伙用作制毒、分销场所，毒品收益通过房地产清洗</w:t>
      </w:r>
      <w:r>
        <w:rPr>
          <w:sz w:val="15"/>
          <w:vertAlign w:val="superscript"/>
        </w:rPr>
        <w:t>P46</w:t>
      </w:r>
      <w:r>
        <w:t>。买卖或租赁房地产时，通过空壳公司、信托等安排隐藏实益所有权，是教材明确列举的风险</w:t>
      </w:r>
      <w:r>
        <w:rPr>
          <w:sz w:val="15"/>
          <w:vertAlign w:val="superscript"/>
        </w:rPr>
        <w:t>P121</w:t>
      </w:r>
      <w:r>
        <w:t>。交易中律师、金融机构等第三方把关人参与，进一步使资金流动合法化</w:t>
      </w:r>
      <w:r>
        <w:rPr>
          <w:sz w:val="15"/>
          <w:vertAlign w:val="superscript"/>
        </w:rPr>
        <w:t>P121</w:t>
      </w:r>
      <w:r>
        <w:t>。选项C为投资回报风险，不属于金融犯罪风险；选项F为融资方式多样性，属中性商业特征，未直接指向犯罪滥用。正确答案A、B、D、E均直接对应教材所述的洗钱或犯罪利用风险。</w:t>
      </w:r>
    </w:p>
    <w:p>
      <w:pPr>
        <w:spacing w:before="120" w:after="40"/>
      </w:pPr>
      <w:r>
        <w:rPr>
          <w:b/>
          <w:sz w:val="21"/>
          <w:shd w:fill="D6E4F0" w:val="clear"/>
        </w:rPr>
        <w:t>教材原句</w:t>
      </w:r>
    </w:p>
    <w:p>
      <w:pPr>
        <w:spacing w:line="360" w:lineRule="auto" w:after="40"/>
        <w:ind w:firstLine="420"/>
      </w:pPr>
      <w:r>
        <w:t>"The real estate sector is inherently susceptible to money laundering due to the substantial sums involved in property transactions and the tangible nature of these assets."</w:t>
      </w:r>
    </w:p>
    <w:p>
      <w:pPr>
        <w:spacing w:before="120" w:after="40"/>
      </w:pPr>
      <w:r>
        <w:rPr>
          <w:b/>
          <w:sz w:val="21"/>
          <w:shd w:fill="D6E4F0" w:val="clear"/>
        </w:rPr>
        <w:t>C项错误</w:t>
      </w:r>
    </w:p>
    <w:p>
      <w:pPr>
        <w:spacing w:line="360" w:lineRule="auto" w:after="40"/>
        <w:ind w:firstLine="420"/>
      </w:pPr>
      <w:r>
        <w:t>市场波动和投资回报属于一般投资风险，金融犯罪风险概念（如洗钱、恐怖融资）不涵盖此类商业不确定性。正确项A、B、D、E均涉及非法资金流动、犯罪活动或所有权隐藏，更直接吻合金融犯罪风险的定义。</w:t>
      </w:r>
    </w:p>
    <w:p>
      <w:pPr>
        <w:spacing w:line="360" w:lineRule="auto" w:after="40"/>
        <w:ind w:firstLine="420"/>
      </w:pPr>
      <w:r>
        <w:t>F项错误：多种类型的融资是中性的商业安排，未直接描述犯罪滥用情形。相比之下，正确项揭示了房地产交易被用于洗钱的核心特征（如大额资金转移、隐藏所有权、第三方合法化），更符合教材对房地产金融犯罪风险的界定。</w:t>
      </w:r>
    </w:p>
    <w:p>
      <w:pPr>
        <w:spacing w:before="120" w:after="40"/>
      </w:pPr>
      <w:r>
        <w:rPr>
          <w:b/>
          <w:sz w:val="21"/>
          <w:shd w:fill="D6E4F0" w:val="clear"/>
        </w:rPr>
        <w:t>易错提醒</w:t>
      </w:r>
    </w:p>
    <w:p>
      <w:pPr>
        <w:spacing w:line="360" w:lineRule="auto" w:after="40"/>
        <w:ind w:firstLine="420"/>
      </w:pPr>
      <w:r>
        <w:t>金融犯罪风险特指洗钱、恐怖融资、欺诈等非法活动带来的风险，有别于市场波动或投资回报等一般商业风险。</w:t>
      </w:r>
    </w:p>
    <w:p>
      <w:pPr>
        <w:spacing w:line="360" w:lineRule="auto" w:after="120"/>
      </w:pPr>
      <w:r/>
    </w:p>
    <w:p>
      <w:pPr>
        <w:spacing w:line="360" w:lineRule="auto" w:after="40"/>
      </w:pPr>
      <w:r>
        <w:t>19. [洗钱和恐怖融资的风险及方法]与房地产交易相关的风险包括:(选择两项.) ( )</w:t>
      </w:r>
    </w:p>
    <w:p>
      <w:pPr>
        <w:spacing w:line="360" w:lineRule="auto" w:after="20"/>
        <w:ind w:firstLine="283"/>
      </w:pPr>
      <w:r>
        <w:t>A. 跨境购物</w:t>
      </w:r>
    </w:p>
    <w:p>
      <w:pPr>
        <w:spacing w:line="360" w:lineRule="auto" w:after="20"/>
        <w:ind w:firstLine="283"/>
      </w:pPr>
      <w:r>
        <w:t>B. 以自然人名义进行的采购</w:t>
      </w:r>
    </w:p>
    <w:p>
      <w:pPr>
        <w:spacing w:line="360" w:lineRule="auto" w:after="20"/>
        <w:ind w:firstLine="283"/>
      </w:pPr>
      <w:r>
        <w:t>C. 按照真实的市场价格购买房产</w:t>
      </w:r>
    </w:p>
    <w:p>
      <w:pPr>
        <w:spacing w:line="360" w:lineRule="auto" w:after="20"/>
        <w:ind w:firstLine="283"/>
      </w:pPr>
      <w:r>
        <w:t>D. 未融资采购</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识别房地产交易中的洗钱风险信号</w:t>
      </w:r>
    </w:p>
    <w:p>
      <w:pPr>
        <w:spacing w:before="120" w:after="40"/>
      </w:pPr>
      <w:r>
        <w:rPr>
          <w:b/>
          <w:sz w:val="21"/>
          <w:shd w:fill="D6E4F0" w:val="clear"/>
        </w:rPr>
        <w:t>核心解析</w:t>
      </w:r>
    </w:p>
    <w:p>
      <w:pPr>
        <w:spacing w:line="360" w:lineRule="auto" w:after="40"/>
        <w:ind w:firstLine="420"/>
      </w:pPr>
      <w:r>
        <w:t>教材指出，跨境交易能掩盖非法活动，房地产市场的全球性本身就让洗钱检测更复杂</w:t>
      </w:r>
      <w:r>
        <w:rPr>
          <w:sz w:val="15"/>
          <w:vertAlign w:val="superscript"/>
        </w:rPr>
        <w:t>P122</w:t>
      </w:r>
      <w:r>
        <w:t>。同时，缺乏合理融资来源的全款采购——比如未通过银行贷款而直接用大额现金购买——即使资金数额在报告限额以下，也是典型的高价值资产洗钱红旗信号</w:t>
      </w:r>
      <w:r>
        <w:rPr>
          <w:sz w:val="15"/>
          <w:vertAlign w:val="superscript"/>
        </w:rPr>
        <w:t>P128</w:t>
      </w:r>
      <w:r>
        <w:t>。题干问的是“房地产交易相关的风险”，而A“跨境购物”直接对应教材所说的国际买家与跨境交易风险，D“未融资采购”则对应缺乏清晰资金来源的现金采购风险，二者都属于教材明确列出的房地产/高价值资产洗钱风险指标。</w:t>
      </w:r>
    </w:p>
    <w:p>
      <w:pPr>
        <w:spacing w:before="120" w:after="40"/>
      </w:pPr>
      <w:r>
        <w:rPr>
          <w:b/>
          <w:sz w:val="21"/>
          <w:shd w:fill="D6E4F0" w:val="clear"/>
        </w:rPr>
        <w:t>教材原句</w:t>
      </w:r>
    </w:p>
    <w:p>
      <w:pPr>
        <w:spacing w:line="360" w:lineRule="auto" w:after="40"/>
        <w:ind w:firstLine="420"/>
      </w:pPr>
      <w:r>
        <w:t>"International buyers and cross-border transactions can mask illicit activities."</w:t>
      </w:r>
    </w:p>
    <w:p>
      <w:pPr>
        <w:spacing w:before="120" w:after="40"/>
      </w:pPr>
      <w:r>
        <w:rPr>
          <w:b/>
          <w:sz w:val="21"/>
          <w:shd w:fill="D6E4F0" w:val="clear"/>
        </w:rPr>
        <w:t>B项错误</w:t>
      </w:r>
    </w:p>
    <w:p>
      <w:pPr>
        <w:spacing w:line="360" w:lineRule="auto" w:after="40"/>
        <w:ind w:firstLine="420"/>
      </w:pPr>
      <w:r>
        <w:t>教材中提到，使用公司、信托或代名人购买房产而非直接以个人名义购买，才是需要关注的红旗信号</w:t>
      </w:r>
      <w:r>
        <w:rPr>
          <w:sz w:val="15"/>
          <w:vertAlign w:val="superscript"/>
        </w:rPr>
        <w:t>P121</w:t>
      </w:r>
      <w:r>
        <w:t>。题干中的“以自然人名义进行的采购”可能产生歧义——若指直接以个人身份购买且来源正当，这不是风险；但教材并未否定自然人购买本身，只是指出通过代持结构掩盖真实身份才是风险。相比之下，A和D更直接吻合教材对房地产洗钱风险的界定。</w:t>
      </w:r>
    </w:p>
    <w:p>
      <w:pPr>
        <w:spacing w:before="120" w:after="40"/>
      </w:pPr>
      <w:r>
        <w:rPr>
          <w:b/>
          <w:sz w:val="21"/>
          <w:shd w:fill="D6E4F0" w:val="clear"/>
        </w:rPr>
        <w:t>C项错误</w:t>
      </w:r>
    </w:p>
    <w:p>
      <w:pPr>
        <w:spacing w:line="360" w:lineRule="auto" w:after="40"/>
        <w:ind w:firstLine="420"/>
      </w:pPr>
      <w:r>
        <w:t>教材将价格偏离市场价值（高开发票或低开发票）列为贸易洗钱或资产估值的风险指标，而不是按真实市场价成交</w:t>
      </w:r>
      <w:r>
        <w:rPr>
          <w:sz w:val="15"/>
          <w:vertAlign w:val="superscript"/>
        </w:rPr>
        <w:t>P131</w:t>
      </w:r>
      <w:r>
        <w:t>。题干条件下的房地产交易，按真实市价购买不具备洗钱风险信号的特征。</w:t>
      </w:r>
    </w:p>
    <w:p>
      <w:pPr>
        <w:spacing w:line="360" w:lineRule="auto" w:after="120"/>
      </w:pPr>
      <w:r/>
    </w:p>
    <w:p>
      <w:pPr>
        <w:spacing w:line="360" w:lineRule="auto" w:after="40"/>
      </w:pPr>
      <w:r>
        <w:t>20. [洗钱和恐怖融资的风险及方法]房地产领域潜在洗钱的警示信号包括完成豪华房地产交易.(选择两项.) ( )</w:t>
      </w:r>
    </w:p>
    <w:p>
      <w:pPr>
        <w:spacing w:line="360" w:lineRule="auto" w:after="20"/>
        <w:ind w:firstLine="283"/>
      </w:pPr>
      <w:r>
        <w:t>A. 利用空壳公司或信托来保护隐私、规划不周或保护资产.</w:t>
      </w:r>
    </w:p>
    <w:p>
      <w:pPr>
        <w:spacing w:line="360" w:lineRule="auto" w:after="20"/>
        <w:ind w:firstLine="283"/>
      </w:pPr>
      <w:r>
        <w:t>B. 以不相关的第三方名义购买.</w:t>
      </w:r>
    </w:p>
    <w:p>
      <w:pPr>
        <w:spacing w:line="360" w:lineRule="auto" w:after="20"/>
        <w:ind w:firstLine="283"/>
      </w:pPr>
      <w:r>
        <w:t>C. 进行全现金购房</w:t>
      </w:r>
    </w:p>
    <w:p>
      <w:pPr>
        <w:spacing w:line="360" w:lineRule="auto" w:after="20"/>
        <w:ind w:firstLine="283"/>
      </w:pPr>
      <w:r>
        <w:t>D. 利用法人实体和中介机构来保护购买者的隐私.</w:t>
      </w:r>
    </w:p>
    <w:p>
      <w:pPr>
        <w:spacing w:line="360" w:lineRule="auto" w:after="20"/>
        <w:ind w:firstLine="283"/>
      </w:pPr>
      <w:r>
        <w:t>E. 利用以现金或定期存款单作担保的贷款.</w:t>
      </w:r>
    </w:p>
    <w:p>
      <w:pPr>
        <w:spacing w:line="360" w:lineRule="auto" w:after="40"/>
      </w:pPr>
      <w:r>
        <w:t>答案:C、B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识别房地产洗钱的全现金购买和代名人购买两大红旗信号</w:t>
      </w:r>
    </w:p>
    <w:p>
      <w:pPr>
        <w:spacing w:before="120" w:after="40"/>
      </w:pPr>
      <w:r>
        <w:rPr>
          <w:b/>
          <w:sz w:val="21"/>
          <w:shd w:fill="D6E4F0" w:val="clear"/>
        </w:rPr>
        <w:t>核心解析</w:t>
      </w:r>
    </w:p>
    <w:p>
      <w:pPr>
        <w:spacing w:line="360" w:lineRule="auto" w:after="40"/>
        <w:ind w:firstLine="420"/>
      </w:pPr>
      <w:r>
        <w:t>教材将“全部或主要用现金支付的买家”列为房地产洗钱的直接红旗信号</w:t>
      </w:r>
      <w:r>
        <w:rPr>
          <w:sz w:val="15"/>
          <w:vertAlign w:val="superscript"/>
        </w:rPr>
        <w:t>P122</w:t>
      </w:r>
      <w:r>
        <w:t>，全现金购买因难以追踪资金来源而增加洗钱风险，题干中“全现金购房”直接命中该指标。同时，教材指出“由公司、信托或代名人购买房产且无合理解释”也是红旗信号</w:t>
      </w:r>
      <w:r>
        <w:rPr>
          <w:sz w:val="15"/>
          <w:vertAlign w:val="superscript"/>
        </w:rPr>
        <w:t>P121</w:t>
      </w:r>
      <w:r>
        <w:t>。以不相关的第三方名义购买，本质上就是使用代名人来隔离买家与房产的权属关系，隐藏真实所有权，这在教材框架下同样属于典型的警示信号。因此 C 和 B 两项与教材定义的风险指标最为吻合。</w:t>
      </w:r>
    </w:p>
    <w:p>
      <w:pPr>
        <w:spacing w:before="120" w:after="40"/>
      </w:pPr>
      <w:r>
        <w:rPr>
          <w:b/>
          <w:sz w:val="21"/>
          <w:shd w:fill="D6E4F0" w:val="clear"/>
        </w:rPr>
        <w:t>教材原句</w:t>
      </w:r>
    </w:p>
    <w:p>
      <w:pPr>
        <w:spacing w:line="360" w:lineRule="auto" w:after="40"/>
        <w:ind w:firstLine="420"/>
      </w:pPr>
      <w:r>
        <w:t>"Red flags include buyers who pay entirely or primarily in cash, particularly in regions where bank financing is the norm."</w:t>
      </w:r>
    </w:p>
    <w:p>
      <w:pPr>
        <w:spacing w:before="120" w:after="40"/>
      </w:pPr>
      <w:r>
        <w:rPr>
          <w:b/>
          <w:sz w:val="21"/>
          <w:shd w:fill="D6E4F0" w:val="clear"/>
        </w:rPr>
        <w:t>A项错误</w:t>
      </w:r>
    </w:p>
    <w:p>
      <w:pPr>
        <w:spacing w:line="360" w:lineRule="auto" w:after="40"/>
        <w:ind w:firstLine="420"/>
      </w:pPr>
      <w:r>
        <w:t>利用空壳公司或信托本身并不必然构成洗钱红旗。教材强调成为红旗的关键在于“无合理解释”，而选项 A 明确提到了隐私保护、税务规划或资产保护等可能构成合法商业目的的理由，因此题干条件更直接指向 B、C 而非 A。</w:t>
      </w:r>
    </w:p>
    <w:p>
      <w:pPr>
        <w:spacing w:before="120" w:after="40"/>
      </w:pPr>
      <w:r>
        <w:rPr>
          <w:b/>
          <w:sz w:val="21"/>
          <w:shd w:fill="D6E4F0" w:val="clear"/>
        </w:rPr>
        <w:t>D项错误</w:t>
      </w:r>
    </w:p>
    <w:p>
      <w:pPr>
        <w:spacing w:line="360" w:lineRule="auto" w:after="40"/>
        <w:ind w:firstLine="420"/>
      </w:pPr>
      <w:r>
        <w:t>教材中红旗信号针对的是通过法人实体隐藏受益所有人且缺乏合理解释的情形，而非“保护购买者隐私”这一中性目的。以隐私保护为由使用法人实体和中介机构，不如 B 项“以不相关的第三方名义购买”那样直接体现所有权隐藏风险，也不如 C 项全现金购买那样被教材明确列为独立红旗。</w:t>
      </w:r>
    </w:p>
    <w:p>
      <w:pPr>
        <w:spacing w:before="120" w:after="40"/>
      </w:pPr>
      <w:r>
        <w:rPr>
          <w:b/>
          <w:sz w:val="21"/>
          <w:shd w:fill="D6E4F0" w:val="clear"/>
        </w:rPr>
        <w:t>E项错误</w:t>
      </w:r>
    </w:p>
    <w:p>
      <w:pPr>
        <w:spacing w:line="360" w:lineRule="auto" w:after="40"/>
        <w:ind w:firstLine="420"/>
      </w:pPr>
      <w:r>
        <w:t>以现金或定期存款单作担保的贷款属于常见的担保融资安排，教材未将其列为房地产洗钱的红旗信号。教程提到可疑的是“无关联第三方之间的贷款协议”缺乏合法经济理由的情形</w:t>
      </w:r>
      <w:r>
        <w:rPr>
          <w:sz w:val="15"/>
          <w:vertAlign w:val="superscript"/>
        </w:rPr>
        <w:t>P128</w:t>
      </w:r>
      <w:r>
        <w:t>，与有担保贷款的性质不同，故本项匹配度远低于 C 和 B。</w:t>
      </w:r>
    </w:p>
    <w:p>
      <w:pPr>
        <w:spacing w:before="120" w:after="40"/>
      </w:pPr>
      <w:r>
        <w:rPr>
          <w:b/>
          <w:sz w:val="21"/>
          <w:shd w:fill="D6E4F0" w:val="clear"/>
        </w:rPr>
        <w:t>易错提醒</w:t>
      </w:r>
    </w:p>
    <w:p>
      <w:pPr>
        <w:spacing w:line="360" w:lineRule="auto" w:after="40"/>
        <w:ind w:firstLine="420"/>
      </w:pPr>
      <w:r>
        <w:t>空壳公司、信托或法人实体只有在“无合理解释”时才是房地产洗钱的红旗</w:t>
      </w:r>
      <w:r>
        <w:rPr>
          <w:sz w:val="15"/>
          <w:vertAlign w:val="superscript"/>
        </w:rPr>
        <w:t>P121</w:t>
      </w:r>
      <w:r>
        <w:t>。如果结构具有合法的隐私、税务或资产保护目的，则本身不自动构成警示信号。</w:t>
      </w:r>
    </w:p>
    <w:p>
      <w:pPr>
        <w:spacing w:line="360" w:lineRule="auto" w:after="120"/>
      </w:pPr>
      <w:r/>
    </w:p>
    <w:p>
      <w:pPr>
        <w:spacing w:line="360" w:lineRule="auto" w:after="40"/>
      </w:pPr>
      <w:r>
        <w:t>21. 信托和公司服务提供商（TCSPs）提供的哪些服务存在最大的金融犯罪风险？（选择三项。） ( )</w:t>
      </w:r>
    </w:p>
    <w:p>
      <w:pPr>
        <w:spacing w:line="360" w:lineRule="auto" w:after="20"/>
        <w:ind w:firstLine="283"/>
      </w:pPr>
      <w:r>
        <w:t>A. 提供明确的程序以确保遵守当地税收法规</w:t>
      </w:r>
    </w:p>
    <w:p>
      <w:pPr>
        <w:spacing w:line="360" w:lineRule="auto" w:after="20"/>
        <w:ind w:firstLine="283"/>
      </w:pPr>
      <w:r>
        <w:t>B. 利用信托掩盖受益所有人的身份</w:t>
      </w:r>
    </w:p>
    <w:p>
      <w:pPr>
        <w:spacing w:line="360" w:lineRule="auto" w:after="20"/>
        <w:ind w:firstLine="283"/>
      </w:pPr>
      <w:r>
        <w:t>C. 推广使用复杂的公司结构</w:t>
      </w:r>
    </w:p>
    <w:p>
      <w:pPr>
        <w:spacing w:line="360" w:lineRule="auto" w:after="20"/>
        <w:ind w:firstLine="283"/>
      </w:pPr>
      <w:r>
        <w:t>D. 为所有注册其服务的客户维护准确且最新的受益所有权详情</w:t>
      </w:r>
    </w:p>
    <w:p>
      <w:pPr>
        <w:spacing w:line="360" w:lineRule="auto" w:after="20"/>
        <w:ind w:firstLine="283"/>
      </w:pPr>
      <w:r>
        <w:t>E. 设立空壳公司以持有金融资产</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判断TCSP哪些业务功能直接关联掩盖所有权与匿名性风险</w:t>
      </w:r>
    </w:p>
    <w:p>
      <w:pPr>
        <w:spacing w:before="120" w:after="40"/>
      </w:pPr>
      <w:r>
        <w:rPr>
          <w:b/>
          <w:sz w:val="21"/>
          <w:shd w:fill="D6E4F0" w:val="clear"/>
        </w:rPr>
        <w:t>核心解析</w:t>
      </w:r>
    </w:p>
    <w:p>
      <w:pPr>
        <w:spacing w:line="360" w:lineRule="auto" w:after="40"/>
        <w:ind w:firstLine="420"/>
      </w:pPr>
      <w:r>
        <w:t>信托与公司服务提供商（TCSP）的核心业务包括代名服务、设立壳公司等</w:t>
      </w:r>
      <w:r>
        <w:rPr>
          <w:sz w:val="15"/>
          <w:vertAlign w:val="superscript"/>
        </w:rPr>
        <w:t>P126</w:t>
      </w:r>
      <w:r>
        <w:t>，此类服务可被用来掩盖（obfuscate）资产真实所有权或资金来源</w:t>
      </w:r>
      <w:r>
        <w:rPr>
          <w:sz w:val="15"/>
          <w:vertAlign w:val="superscript"/>
        </w:rPr>
        <w:t>P126</w:t>
      </w:r>
      <w:r>
        <w:t>。之所以构成最大的金融犯罪风险，在于它们的核心功能直接制造了“所有权”和“交易匿名”地带：信托利用法定所有权与受益所有权分离来掩饰犯罪关联</w:t>
      </w:r>
      <w:r>
        <w:rPr>
          <w:sz w:val="15"/>
          <w:vertAlign w:val="superscript"/>
        </w:rPr>
        <w:t>P74</w:t>
      </w:r>
      <w:r>
        <w:t>；复杂公司结构使识别受益所有人变得困难</w:t>
      </w:r>
      <w:r>
        <w:rPr>
          <w:sz w:val="15"/>
          <w:vertAlign w:val="superscript"/>
        </w:rPr>
        <w:t>P64</w:t>
      </w:r>
      <w:r>
        <w:t>；壳公司可专门为持有单一资产而设立，隐藏真实受益所有人</w:t>
      </w:r>
      <w:r>
        <w:rPr>
          <w:sz w:val="15"/>
          <w:vertAlign w:val="superscript"/>
        </w:rPr>
        <w:t>P55</w:t>
      </w:r>
      <w:r>
        <w:t>。题干中B项“利用信托掩盖受益所有人身份”、C项“推广使用复杂的公司结构”、E项“设立空壳公司以持有金融资产”正好落在这三条由教材明确定义的高风险功能上——每一项都直指受益所有权被遮蔽这一核心风险，匹配度最高。</w:t>
      </w:r>
    </w:p>
    <w:p>
      <w:pPr>
        <w:spacing w:before="120" w:after="40"/>
      </w:pPr>
      <w:r>
        <w:rPr>
          <w:b/>
          <w:sz w:val="21"/>
          <w:shd w:fill="D6E4F0" w:val="clear"/>
        </w:rPr>
        <w:t>教材原句</w:t>
      </w:r>
    </w:p>
    <w:p>
      <w:pPr>
        <w:spacing w:line="360" w:lineRule="auto" w:after="40"/>
        <w:ind w:firstLine="420"/>
      </w:pPr>
      <w:r>
        <w:t>"Trust and company service providers (TCSP) offer a range of business services, including nominee services, the establishment of shell companies, and the incorporation of onshore and offshore companies."</w:t>
      </w:r>
    </w:p>
    <w:p>
      <w:pPr>
        <w:spacing w:before="120" w:after="40"/>
      </w:pPr>
      <w:r>
        <w:rPr>
          <w:b/>
          <w:sz w:val="21"/>
          <w:shd w:fill="D6E4F0" w:val="clear"/>
        </w:rPr>
        <w:t>A项错误</w:t>
      </w:r>
    </w:p>
    <w:p>
      <w:pPr>
        <w:spacing w:line="360" w:lineRule="auto" w:after="40"/>
        <w:ind w:firstLine="420"/>
      </w:pPr>
      <w:r>
        <w:t>教材将“确保当地合规”列为离岸公司注册的配套行政事务</w:t>
      </w:r>
      <w:r>
        <w:rPr>
          <w:sz w:val="15"/>
          <w:vertAlign w:val="superscript"/>
        </w:rPr>
        <w:t>P127</w:t>
      </w:r>
      <w:r>
        <w:t>，本身是正当合规职能。题干追问“最大的金融犯罪风险”，旨在锁定利用匿名性洗钱的服务，而非日常合规操作。</w:t>
      </w:r>
    </w:p>
    <w:p>
      <w:pPr>
        <w:spacing w:before="120" w:after="40"/>
      </w:pPr>
      <w:r>
        <w:rPr>
          <w:b/>
          <w:sz w:val="21"/>
          <w:shd w:fill="D6E4F0" w:val="clear"/>
        </w:rPr>
        <w:t>D项错误</w:t>
      </w:r>
    </w:p>
    <w:p>
      <w:pPr>
        <w:spacing w:line="360" w:lineRule="auto" w:after="40"/>
        <w:ind w:firstLine="420"/>
      </w:pPr>
      <w:r>
        <w:t>维护准确且最新的受益所有权详情属于FATF建议的透明度要求</w:t>
      </w:r>
      <w:r>
        <w:rPr>
          <w:sz w:val="15"/>
          <w:vertAlign w:val="superscript"/>
        </w:rPr>
        <w:t>P149</w:t>
      </w:r>
      <w:r>
        <w:t>，教材在某些国家将其描述为反洗钱立法强化的方向</w:t>
      </w:r>
      <w:r>
        <w:rPr>
          <w:sz w:val="15"/>
          <w:vertAlign w:val="superscript"/>
        </w:rPr>
        <w:t>P182</w:t>
      </w:r>
      <w:r>
        <w:t>。它不是TCSP自身业务流程中容易滋生风险的服务，反而最可能在合规框架下降低风险。题干所问“最大风险”显然更指向制造不透明结构的行为，而非透明度维护工作。</w:t>
      </w:r>
    </w:p>
    <w:p>
      <w:pPr>
        <w:spacing w:before="120" w:after="40"/>
      </w:pPr>
      <w:r>
        <w:rPr>
          <w:b/>
          <w:sz w:val="21"/>
          <w:shd w:fill="D6E4F0" w:val="clear"/>
        </w:rPr>
        <w:t>易错提醒</w:t>
      </w:r>
    </w:p>
    <w:p>
      <w:pPr>
        <w:spacing w:line="360" w:lineRule="auto" w:after="40"/>
        <w:ind w:firstLine="420"/>
      </w:pPr>
      <w:r>
        <w:t>易混的“合规行为”与“风险来源”：选项A和D的本质是TCSP在反洗钱框架下被要求去做的降低风险动作，而B、C、E本身即产生不透明性——前者属于应对风险的手段，后者属于风险产生的源头。</w:t>
      </w:r>
    </w:p>
    <w:p>
      <w:pPr>
        <w:spacing w:line="360" w:lineRule="auto" w:after="120"/>
      </w:pPr>
      <w:r/>
    </w:p>
    <w:p>
      <w:pPr>
        <w:spacing w:line="360" w:lineRule="auto" w:after="40"/>
      </w:pPr>
      <w:r>
        <w:t>22. 以下哪种公司结构由于透明度降低而具有更高的洗钱风险？(选择三项.) ( )</w:t>
      </w:r>
    </w:p>
    <w:p>
      <w:pPr>
        <w:spacing w:line="360" w:lineRule="auto" w:after="20"/>
        <w:ind w:firstLine="283"/>
      </w:pPr>
      <w:r>
        <w:t>A. 在外国司法管辖区注册成立的有限责任公司</w:t>
      </w:r>
    </w:p>
    <w:p>
      <w:pPr>
        <w:spacing w:line="360" w:lineRule="auto" w:after="20"/>
        <w:ind w:firstLine="283"/>
      </w:pPr>
      <w:r>
        <w:t>B. 一家在避税天堂管辖区没有任何业务活动的私营公司</w:t>
      </w:r>
    </w:p>
    <w:p>
      <w:pPr>
        <w:spacing w:line="360" w:lineRule="auto" w:after="20"/>
        <w:ind w:firstLine="283"/>
      </w:pPr>
      <w:r>
        <w:t>C. 在当地司法管辖区设有代名股东和董事的公司</w:t>
      </w:r>
    </w:p>
    <w:p>
      <w:pPr>
        <w:spacing w:line="360" w:lineRule="auto" w:after="20"/>
        <w:ind w:firstLine="283"/>
      </w:pPr>
      <w:r>
        <w:t>D. 一家在避税天堂司法管辖区注册成立的无记名股票公司</w:t>
      </w:r>
    </w:p>
    <w:p>
      <w:pPr>
        <w:spacing w:line="360" w:lineRule="auto" w:after="20"/>
        <w:ind w:firstLine="283"/>
      </w:pPr>
      <w:r>
        <w:t>E. 一家在设有严格保密法的避税天堂司法管辖区注册成立的私人投资公司</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识别降低受益所有人透明度的公司结构风险特征</w:t>
      </w:r>
    </w:p>
    <w:p>
      <w:pPr>
        <w:spacing w:before="120" w:after="40"/>
      </w:pPr>
      <w:r>
        <w:rPr>
          <w:b/>
          <w:sz w:val="21"/>
          <w:shd w:fill="D6E4F0" w:val="clear"/>
        </w:rPr>
        <w:t>核心解析</w:t>
      </w:r>
    </w:p>
    <w:p>
      <w:pPr>
        <w:spacing w:line="360" w:lineRule="auto" w:after="40"/>
        <w:ind w:firstLine="420"/>
      </w:pPr>
      <w:r>
        <w:t>本题的核心是判断哪些公司结构会通过降低透明度来增加洗钱风险。教材指出，名义股东和董事（nominee shareholders and directors）可被用于隐藏最终受益所有人（UBO）身份，通过模糊化制造匿名层从而增加洗钱风险</w:t>
      </w:r>
      <w:r>
        <w:rPr>
          <w:sz w:val="15"/>
          <w:vertAlign w:val="superscript"/>
        </w:rPr>
        <w:t>P127</w:t>
      </w:r>
      <w:r>
        <w:t>；不记名股票（bearer shares）的持有者即为名义所有人，这种形式使得所有权的识别变得极为困难</w:t>
      </w:r>
      <w:r>
        <w:rPr>
          <w:sz w:val="15"/>
          <w:vertAlign w:val="superscript"/>
        </w:rPr>
        <w:t>P55</w:t>
      </w:r>
      <w:r>
        <w:t>；避税天堂的严格保密法（strict secrecy laws）可进一步隐藏公司真实所有权</w:t>
      </w:r>
      <w:r>
        <w:rPr>
          <w:sz w:val="15"/>
          <w:vertAlign w:val="superscript"/>
        </w:rPr>
        <w:t>P55</w:t>
      </w:r>
      <w:r>
        <w:t>，而客户使用私人投资公司（private investment companies）的目的之一正是为了降低最终受益所有人的透明度</w:t>
      </w:r>
      <w:r>
        <w:rPr>
          <w:sz w:val="15"/>
          <w:vertAlign w:val="superscript"/>
        </w:rPr>
        <w:t>P71</w:t>
      </w:r>
      <w:r>
        <w:t>。选项C、D、E恰好各自代表了这三种典型的降低透明度的机制——代名安排、不记名股票工具、以及保密法域下的私人投资载体，因此都符合题干所问的“因透明度降低而具有更高洗钱风险”。</w:t>
      </w:r>
    </w:p>
    <w:p>
      <w:pPr>
        <w:spacing w:before="120" w:after="40"/>
      </w:pPr>
      <w:r>
        <w:rPr>
          <w:b/>
          <w:sz w:val="21"/>
          <w:shd w:fill="D6E4F0" w:val="clear"/>
        </w:rPr>
        <w:t>A项错误</w:t>
      </w:r>
    </w:p>
    <w:p>
      <w:pPr>
        <w:spacing w:line="360" w:lineRule="auto" w:after="40"/>
        <w:ind w:firstLine="420"/>
      </w:pPr>
      <w:r>
        <w:t>仅在外国司法管辖区注册，不等于透明度的必然降低。教材将风险聚焦于利用了低税或高保密特征的离岸公司</w:t>
      </w:r>
      <w:r>
        <w:rPr>
          <w:sz w:val="15"/>
          <w:vertAlign w:val="superscript"/>
        </w:rPr>
        <w:t>P127</w:t>
      </w:r>
      <w:r>
        <w:t>，而选项A未提及注册地是否具备保密法、名义人或不记名股票等降低透明度的关键要素，因此在匹配度上不如正确项直接。</w:t>
      </w:r>
    </w:p>
    <w:p>
      <w:pPr>
        <w:spacing w:before="120" w:after="40"/>
      </w:pPr>
      <w:r>
        <w:rPr>
          <w:b/>
          <w:sz w:val="21"/>
          <w:shd w:fill="D6E4F0" w:val="clear"/>
        </w:rPr>
        <w:t>B项错误</w:t>
      </w:r>
    </w:p>
    <w:p>
      <w:pPr>
        <w:spacing w:line="360" w:lineRule="auto" w:after="40"/>
        <w:ind w:firstLine="420"/>
      </w:pPr>
      <w:r>
        <w:t>题干强调的是“因透明度降低”而带来的风险，而非所有公司形式。一家在避税天堂“没有任何业务活动”的私营公司，本身不涉及名义人、不记名股票或保密法等降低透明度的特征，其风险来源与正确项所依赖的匿名和隐藏机制不同。</w:t>
      </w:r>
    </w:p>
    <w:p>
      <w:pPr>
        <w:spacing w:before="120" w:after="40"/>
      </w:pPr>
      <w:r>
        <w:rPr>
          <w:b/>
          <w:sz w:val="21"/>
          <w:shd w:fill="D6E4F0" w:val="clear"/>
        </w:rPr>
        <w:t>易错提醒</w:t>
      </w:r>
    </w:p>
    <w:p>
      <w:pPr>
        <w:spacing w:line="360" w:lineRule="auto" w:after="40"/>
        <w:ind w:firstLine="420"/>
      </w:pPr>
      <w:r>
        <w:t>“在外国注册”与“在避税天堂/高保密法域注册”是两回事。教材指出离岸公司之所以增加风险，是因为低税和高保密导致公开记录有限</w:t>
      </w:r>
      <w:r>
        <w:rPr>
          <w:sz w:val="15"/>
          <w:vertAlign w:val="superscript"/>
        </w:rPr>
        <w:t>P127</w:t>
      </w:r>
      <w:r>
        <w:t>；单是身处外国管辖区，若没有低透明度特征，本身并不足以构成高风险。</w:t>
      </w:r>
    </w:p>
    <w:p>
      <w:pPr>
        <w:spacing w:line="360" w:lineRule="auto" w:after="120"/>
      </w:pPr>
      <w:r/>
    </w:p>
    <w:p>
      <w:pPr>
        <w:spacing w:line="360" w:lineRule="auto" w:after="40"/>
      </w:pPr>
      <w:r>
        <w:t>23. 哪些关键的金融犯罪风险与远程博彩行业直接相关？（选择三项。） ( )</w:t>
      </w:r>
    </w:p>
    <w:p>
      <w:pPr>
        <w:spacing w:line="360" w:lineRule="auto" w:after="20"/>
        <w:ind w:firstLine="283"/>
      </w:pPr>
      <w:r>
        <w:t>A. 客户未亲自到场进行身份验证。</w:t>
      </w:r>
    </w:p>
    <w:p>
      <w:pPr>
        <w:spacing w:line="360" w:lineRule="auto" w:after="20"/>
        <w:ind w:firstLine="283"/>
      </w:pPr>
      <w:r>
        <w:t>B. 存入大量现金的客户。</w:t>
      </w:r>
    </w:p>
    <w:p>
      <w:pPr>
        <w:spacing w:line="360" w:lineRule="auto" w:after="20"/>
        <w:ind w:firstLine="283"/>
      </w:pPr>
      <w:r>
        <w:t>C. 使用匿名预付卡的客户。</w:t>
      </w:r>
    </w:p>
    <w:p>
      <w:pPr>
        <w:spacing w:line="360" w:lineRule="auto" w:after="20"/>
        <w:ind w:firstLine="283"/>
      </w:pPr>
      <w:r>
        <w:t>D. 超出自身承受能力进行投注的客户。</w:t>
      </w:r>
    </w:p>
    <w:p>
      <w:pPr>
        <w:spacing w:line="360" w:lineRule="auto" w:after="20"/>
        <w:ind w:firstLine="283"/>
      </w:pPr>
      <w:r>
        <w:t>E. 客户为规避强化尽职调查而频繁进行小额交易。</w:t>
      </w:r>
    </w:p>
    <w:p>
      <w:pPr>
        <w:spacing w:line="360" w:lineRule="auto" w:after="40"/>
      </w:pPr>
      <w:r>
        <w:t>答案:A、C、E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识别远程博彩非面对面开户、匿名预付卡与结构化交易风险</w:t>
      </w:r>
    </w:p>
    <w:p>
      <w:pPr>
        <w:spacing w:before="120" w:after="40"/>
      </w:pPr>
      <w:r>
        <w:rPr>
          <w:b/>
          <w:sz w:val="21"/>
          <w:shd w:fill="D6E4F0" w:val="clear"/>
        </w:rPr>
        <w:t>核心解析</w:t>
      </w:r>
    </w:p>
    <w:p>
      <w:pPr>
        <w:spacing w:line="360" w:lineRule="auto" w:after="40"/>
        <w:ind w:firstLine="420"/>
      </w:pPr>
      <w:r>
        <w:t>远程博彩的金融犯罪风险首先源于非面对面的客户交互与开户。教材指出在线游戏的快速增长涉及非面对面客户交互和开户</w:t>
      </w:r>
      <w:r>
        <w:rPr>
          <w:sz w:val="15"/>
          <w:vertAlign w:val="superscript"/>
        </w:rPr>
        <w:t>P120</w:t>
      </w:r>
      <w:r>
        <w:t>，这使身份验证更困难，正好对应选项A“客户未亲自到场进行身份验证”。其次，预付卡可匿名购买和充值，且KYC要求极低，容易被用来转移非法资金</w:t>
      </w:r>
      <w:r>
        <w:rPr>
          <w:sz w:val="15"/>
          <w:vertAlign w:val="superscript"/>
        </w:rPr>
        <w:t>P68</w:t>
      </w:r>
      <w:r>
        <w:t>，这正是远程博彩可利用的支付工具，选项C“使用匿名预付卡的客户”直接吻合。再次，博彩业本身面临通过第三方和多笔交易规避报告门槛的结构化交易风险</w:t>
      </w:r>
      <w:r>
        <w:rPr>
          <w:sz w:val="15"/>
          <w:vertAlign w:val="superscript"/>
        </w:rPr>
        <w:t>P121</w:t>
      </w:r>
      <w:r>
        <w:t>，选项E“客户为规避强化尽职调查而频繁进行小额交易”正属于此类结构化行为。相比之下，教材将大量现金交易列为实体赌场（casinos）的典型风险</w:t>
      </w:r>
      <w:r>
        <w:rPr>
          <w:sz w:val="15"/>
          <w:vertAlign w:val="superscript"/>
        </w:rPr>
        <w:t>P120</w:t>
      </w:r>
      <w:r>
        <w:t>，而非远程博彩行业的独有特征；选项D超出承受能力投注则未在教材中被界定为金融犯罪风险。因此选项A、C、E直接对应教材所界定的远程博彩相关风险。</w:t>
      </w:r>
    </w:p>
    <w:p>
      <w:pPr>
        <w:spacing w:before="120" w:after="40"/>
      </w:pPr>
      <w:r>
        <w:rPr>
          <w:b/>
          <w:sz w:val="21"/>
          <w:shd w:fill="D6E4F0" w:val="clear"/>
        </w:rPr>
        <w:t>教材原句</w:t>
      </w:r>
    </w:p>
    <w:p>
      <w:pPr>
        <w:spacing w:line="360" w:lineRule="auto" w:after="40"/>
        <w:ind w:firstLine="420"/>
      </w:pPr>
      <w:r>
        <w:t>"This situation is further complicated by the rapid growth of online gaming, which involves non-face-to-face customer interactions and onboarding, along with emerging technologies that often introduce vulnerabilities alongside opportunity."</w:t>
      </w:r>
    </w:p>
    <w:p>
      <w:pPr>
        <w:spacing w:before="120" w:after="40"/>
      </w:pPr>
      <w:r>
        <w:rPr>
          <w:b/>
          <w:sz w:val="21"/>
          <w:shd w:fill="D6E4F0" w:val="clear"/>
        </w:rPr>
        <w:t>B项错误</w:t>
      </w:r>
    </w:p>
    <w:p>
      <w:pPr>
        <w:spacing w:line="360" w:lineRule="auto" w:after="40"/>
        <w:ind w:firstLine="420"/>
      </w:pPr>
      <w:r>
        <w:t>教材将大量现金交易列为实体赌场（casinos）的固有风险</w:t>
      </w:r>
      <w:r>
        <w:rPr>
          <w:sz w:val="15"/>
          <w:vertAlign w:val="superscript"/>
        </w:rPr>
        <w:t>P120</w:t>
      </w:r>
      <w:r>
        <w:t>。题干问的是“远程博彩行业”，远程博彩不涉及现金存款，相比A、C、E分别直接匹配非面对面验证、匿名支付工具和结构化交易，B的匹配度更低。</w:t>
      </w:r>
    </w:p>
    <w:p>
      <w:pPr>
        <w:spacing w:before="120" w:after="40"/>
      </w:pPr>
      <w:r>
        <w:rPr>
          <w:b/>
          <w:sz w:val="21"/>
          <w:shd w:fill="D6E4F0" w:val="clear"/>
        </w:rPr>
        <w:t>D项错误</w:t>
      </w:r>
    </w:p>
    <w:p>
      <w:pPr>
        <w:spacing w:line="360" w:lineRule="auto" w:after="40"/>
        <w:ind w:firstLine="420"/>
      </w:pPr>
      <w:r>
        <w:t>教材未将超出自身承受能力进行投注列为金融犯罪风险，该情形更接近负责任博彩的范畴，而非题干所要求的“关键的金融犯罪风险”，故不匹配。</w:t>
      </w:r>
    </w:p>
    <w:p>
      <w:pPr>
        <w:spacing w:before="120" w:after="40"/>
      </w:pPr>
      <w:r>
        <w:rPr>
          <w:b/>
          <w:sz w:val="21"/>
          <w:shd w:fill="D6E4F0" w:val="clear"/>
        </w:rPr>
        <w:t>易错提醒</w:t>
      </w:r>
    </w:p>
    <w:p>
      <w:pPr>
        <w:spacing w:line="360" w:lineRule="auto" w:after="40"/>
        <w:ind w:firstLine="420"/>
      </w:pPr>
      <w:r>
        <w:t>实体赌场的核心风险特征是大额现金交易</w:t>
      </w:r>
      <w:r>
        <w:rPr>
          <w:sz w:val="15"/>
          <w:vertAlign w:val="superscript"/>
        </w:rPr>
        <w:t>P120</w:t>
      </w:r>
      <w:r>
        <w:t>，而远程博彩的核心风险在于非面对面身份验证、匿名支付工具和结构化交易。不要将实体赌场的风险套用到远程博彩。</w:t>
      </w:r>
    </w:p>
    <w:p>
      <w:pPr>
        <w:spacing w:line="360" w:lineRule="auto" w:after="120"/>
      </w:pPr>
      <w:r/>
    </w:p>
    <w:p>
      <w:pPr>
        <w:spacing w:line="360" w:lineRule="auto" w:after="40"/>
      </w:pPr>
      <w:r>
        <w:t>24. 专业服务提供者-包括律师、会计师、投资经纪以及其他第三方-可能会滥用其职位为洗钱提供便利.这种滥用行为与哪些金融犯罪风险相关？(选择三项.) ( )</w:t>
      </w:r>
    </w:p>
    <w:p>
      <w:pPr>
        <w:spacing w:line="360" w:lineRule="auto" w:after="20"/>
        <w:ind w:firstLine="283"/>
      </w:pPr>
      <w:r>
        <w:t>A. 为客户开设账户以处理遗产事宜</w:t>
      </w:r>
    </w:p>
    <w:p>
      <w:pPr>
        <w:spacing w:line="360" w:lineRule="auto" w:after="20"/>
        <w:ind w:firstLine="283"/>
      </w:pPr>
      <w:r>
        <w:t>B. 设立空壳公司以实施洗钱活动,包括资金的置入或分层操作</w:t>
      </w:r>
    </w:p>
    <w:p>
      <w:pPr>
        <w:spacing w:line="360" w:lineRule="auto" w:after="20"/>
        <w:ind w:firstLine="283"/>
      </w:pPr>
      <w:r>
        <w:t>C. 为掩盖实际客户身份而开设第三方账户</w:t>
      </w:r>
    </w:p>
    <w:p>
      <w:pPr>
        <w:spacing w:line="360" w:lineRule="auto" w:after="20"/>
        <w:ind w:firstLine="283"/>
      </w:pPr>
      <w:r>
        <w:t>D. 开设信托账户以促进合法的房地产交易</w:t>
      </w:r>
    </w:p>
    <w:p>
      <w:pPr>
        <w:spacing w:line="360" w:lineRule="auto" w:after="20"/>
        <w:ind w:firstLine="283"/>
      </w:pPr>
      <w:r>
        <w:t>E. 指导或协助洗钱,包括安排交易以规避监管</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识别DNFBPs被滥用于洗钱的典型风险类型</w:t>
      </w:r>
    </w:p>
    <w:p>
      <w:pPr>
        <w:spacing w:before="120" w:after="40"/>
      </w:pPr>
      <w:r>
        <w:rPr>
          <w:b/>
          <w:sz w:val="21"/>
          <w:shd w:fill="D6E4F0" w:val="clear"/>
        </w:rPr>
        <w:t>核心解析</w:t>
      </w:r>
    </w:p>
    <w:p>
      <w:pPr>
        <w:spacing w:line="360" w:lineRule="auto" w:after="40"/>
        <w:ind w:firstLine="420"/>
      </w:pPr>
      <w:r>
        <w:t>指定非金融行业和职业（DNFBPs）如律师、会计师、信托或公司服务提供商，在缺乏有效管控时，其专业服务可能被犯罪分子利用来隐藏非法资金来源或受益所有人。教材指出，律师可能协助设立壳公司等复杂结构以隐藏真实受益人</w:t>
      </w:r>
      <w:r>
        <w:rPr>
          <w:sz w:val="15"/>
          <w:vertAlign w:val="superscript"/>
        </w:rPr>
        <w:t>P119</w:t>
      </w:r>
      <w:r>
        <w:t>；信托或公司服务提供商创建的结构会掩盖受益所有人和资金来源</w:t>
      </w:r>
      <w:r>
        <w:rPr>
          <w:sz w:val="15"/>
          <w:vertAlign w:val="superscript"/>
        </w:rPr>
        <w:t>P120</w:t>
      </w:r>
      <w:r>
        <w:t>；会计师可能无意中创建复杂结构为非法活动提供便利，如拆分交易</w:t>
      </w:r>
      <w:r>
        <w:rPr>
          <w:sz w:val="15"/>
          <w:vertAlign w:val="superscript"/>
        </w:rPr>
        <w:t>P123</w:t>
      </w:r>
      <w:r>
        <w:t>。本题题干问及专业服务提供者滥用职位为洗钱提供便利所关联的金融犯罪风险，选项B“设立空壳公司以实施洗钱活动”、C“为掩盖实际客户身份而开设第三方账户”、E“指导或协助洗钱，包括安排交易以规避监管”分别直接对应上述教材明确列举的滥用方式，因此B、C、E成立。</w:t>
      </w:r>
    </w:p>
    <w:p>
      <w:pPr>
        <w:spacing w:before="120" w:after="40"/>
      </w:pPr>
      <w:r>
        <w:rPr>
          <w:b/>
          <w:sz w:val="21"/>
          <w:shd w:fill="D6E4F0" w:val="clear"/>
        </w:rPr>
        <w:t>教材原句</w:t>
      </w:r>
    </w:p>
    <w:p>
      <w:pPr>
        <w:spacing w:line="360" w:lineRule="auto" w:after="40"/>
        <w:ind w:firstLine="420"/>
      </w:pPr>
      <w:r>
        <w:t>"Lawyers might assist in establishing complex structures, such as trusts or shell companies, which can conceal the identities of true beneficiaries."</w:t>
      </w:r>
    </w:p>
    <w:p>
      <w:pPr>
        <w:spacing w:before="120" w:after="40"/>
      </w:pPr>
      <w:r>
        <w:rPr>
          <w:b/>
          <w:sz w:val="21"/>
          <w:shd w:fill="D6E4F0" w:val="clear"/>
        </w:rPr>
        <w:t>A项错误</w:t>
      </w:r>
    </w:p>
    <w:p>
      <w:pPr>
        <w:spacing w:line="360" w:lineRule="auto" w:after="40"/>
        <w:ind w:firstLine="420"/>
      </w:pPr>
      <w:r>
        <w:t>为客户开设账户以处理遗产事宜属于信托和律师的合法用途</w:t>
      </w:r>
      <w:r>
        <w:rPr>
          <w:sz w:val="15"/>
          <w:vertAlign w:val="superscript"/>
        </w:rPr>
        <w:t>P73</w:t>
      </w:r>
      <w:r>
        <w:t>，教材将其列为正当的继承与遗产规划活动。题干关注的是专业服务被滥用于洗钱的风险，合法服务本身并不直接构成金融犯罪风险，因此匹配度远低于选项B、C、E所描述的滥用性安排。</w:t>
      </w:r>
    </w:p>
    <w:p>
      <w:pPr>
        <w:spacing w:before="120" w:after="40"/>
      </w:pPr>
      <w:r>
        <w:rPr>
          <w:b/>
          <w:sz w:val="21"/>
          <w:shd w:fill="D6E4F0" w:val="clear"/>
        </w:rPr>
        <w:t>D项错误</w:t>
      </w:r>
    </w:p>
    <w:p>
      <w:pPr>
        <w:spacing w:line="360" w:lineRule="auto" w:after="40"/>
        <w:ind w:firstLine="420"/>
      </w:pPr>
      <w:r>
        <w:t>开设信托账户以促成合法的房地产交易同样属于信托的正常功能</w:t>
      </w:r>
      <w:r>
        <w:rPr>
          <w:sz w:val="15"/>
          <w:vertAlign w:val="superscript"/>
        </w:rPr>
        <w:t>P73</w:t>
      </w:r>
      <w:r>
        <w:t>，题干旨在识别滥用行为引发的犯罪风险，而非专业服务的合法运用。相比之下，正确项B、C、E均指向为隐藏身份或协助非法资金流动而设计的结构，更贴合教材对DNFBPs洗钱风险的描述。</w:t>
      </w:r>
    </w:p>
    <w:p>
      <w:pPr>
        <w:spacing w:line="360" w:lineRule="auto" w:after="120"/>
      </w:pPr>
      <w:r/>
    </w:p>
    <w:p>
      <w:pPr>
        <w:spacing w:line="360" w:lineRule="auto" w:after="40"/>
      </w:pPr>
      <w:r>
        <w:t>25. 以下哪些活动被金融行动特别工作组(FATF)认定为可能通过房地产行业洗钱的迹象?(选择四项.) ( )</w:t>
      </w:r>
    </w:p>
    <w:p>
      <w:pPr>
        <w:spacing w:line="360" w:lineRule="auto" w:after="20"/>
        <w:ind w:firstLine="283"/>
      </w:pPr>
      <w:r>
        <w:t>A. 抵押贷款产品的使用</w:t>
      </w:r>
    </w:p>
    <w:p>
      <w:pPr>
        <w:spacing w:line="360" w:lineRule="auto" w:after="20"/>
        <w:ind w:firstLine="283"/>
      </w:pPr>
      <w:r>
        <w:t>B. 商业用途与声明的业务目的不符的商业物业使用情况</w:t>
      </w:r>
    </w:p>
    <w:p>
      <w:pPr>
        <w:spacing w:line="360" w:lineRule="auto" w:after="20"/>
        <w:ind w:firstLine="283"/>
      </w:pPr>
      <w:r>
        <w:t>C. 复杂贷款或信贷融资的使用</w:t>
      </w:r>
    </w:p>
    <w:p>
      <w:pPr>
        <w:spacing w:line="360" w:lineRule="auto" w:after="20"/>
        <w:ind w:firstLine="283"/>
      </w:pPr>
      <w:r>
        <w:t>D. 使用公司载体或复杂的所有权结构</w:t>
      </w:r>
    </w:p>
    <w:p>
      <w:pPr>
        <w:spacing w:line="360" w:lineRule="auto" w:after="20"/>
        <w:ind w:firstLine="283"/>
      </w:pPr>
      <w:r>
        <w:t>E. 无法解释的现金支付</w:t>
      </w:r>
    </w:p>
    <w:p>
      <w:pPr>
        <w:spacing w:line="360" w:lineRule="auto" w:after="20"/>
        <w:ind w:firstLine="283"/>
      </w:pPr>
      <w:r>
        <w:t>F. 农村地区农业用地的使用</w:t>
      </w:r>
    </w:p>
    <w:p>
      <w:pPr>
        <w:spacing w:line="360" w:lineRule="auto" w:after="40"/>
      </w:pPr>
      <w:r>
        <w:t>答案:B、C、D、E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识别FATF房地产行业洗钱红旗信号</w:t>
      </w:r>
    </w:p>
    <w:p>
      <w:pPr>
        <w:spacing w:before="120" w:after="40"/>
      </w:pPr>
      <w:r>
        <w:rPr>
          <w:b/>
          <w:sz w:val="21"/>
          <w:shd w:fill="D6E4F0" w:val="clear"/>
        </w:rPr>
        <w:t>核心解析</w:t>
      </w:r>
    </w:p>
    <w:p>
      <w:pPr>
        <w:spacing w:line="360" w:lineRule="auto" w:after="40"/>
        <w:ind w:firstLine="420"/>
      </w:pPr>
      <w:r>
        <w:t>FATF在房地产领域列出了多项洗钱风险指标：由公司、信托或代名人购买房产且无合理解释是红旗</w:t>
      </w:r>
      <w:r>
        <w:rPr>
          <w:sz w:val="15"/>
          <w:vertAlign w:val="superscript"/>
        </w:rPr>
        <w:t>P121</w:t>
      </w:r>
      <w:r>
        <w:t>，若购买实体业务活动极少则进一步加深担忧</w:t>
      </w:r>
      <w:r>
        <w:rPr>
          <w:sz w:val="15"/>
          <w:vertAlign w:val="superscript"/>
        </w:rPr>
        <w:t>P122</w:t>
      </w:r>
      <w:r>
        <w:t>；现金交易因难以追踪而增加洗钱风险，全部或主要用现金支付属于红旗</w:t>
      </w:r>
      <w:r>
        <w:rPr>
          <w:sz w:val="15"/>
          <w:vertAlign w:val="superscript"/>
        </w:rPr>
        <w:t>P122</w:t>
      </w:r>
      <w:r>
        <w:t>；在银行业中，复杂产品如贸易融资、贷款等环境可被洗钱者利用</w:t>
      </w:r>
      <w:r>
        <w:rPr>
          <w:sz w:val="15"/>
          <w:vertAlign w:val="superscript"/>
        </w:rPr>
        <w:t>P54</w:t>
      </w:r>
      <w:r>
        <w:t>；使用壳公司等复杂所有权结构则能掩盖受益所有人，阻碍资金溯源</w:t>
      </w:r>
      <w:r>
        <w:rPr>
          <w:sz w:val="15"/>
          <w:vertAlign w:val="superscript"/>
        </w:rPr>
        <w:t>P128</w:t>
      </w:r>
      <w:r>
        <w:t>。题干选项B“商业用途与声明的业务目的不符的商业物业使用情况”直接吻合业务活动与目的不一致的风险信号，选项C“复杂贷款或信贷融资的使用”对应复杂金融产品被利用的场景，选项D“使用公司载体或复杂的所有权结构”与公司实体购房及壳公司结构相呼应，选项E“无法解释的现金支付”匹配现金交易风险指标，因此这四项均属于FATF认定的房地产洗钱迹象。</w:t>
      </w:r>
    </w:p>
    <w:p>
      <w:pPr>
        <w:spacing w:before="120" w:after="40"/>
      </w:pPr>
      <w:r>
        <w:rPr>
          <w:b/>
          <w:sz w:val="21"/>
          <w:shd w:fill="D6E4F0" w:val="clear"/>
        </w:rPr>
        <w:t>教材原句</w:t>
      </w:r>
    </w:p>
    <w:p>
      <w:pPr>
        <w:spacing w:line="360" w:lineRule="auto" w:after="40"/>
        <w:ind w:firstLine="420"/>
      </w:pPr>
      <w:r>
        <w:t>"For example, properties acquired by corporate entities, trusts, or nominees without a clear justification as to why they were not purchased directly by an individual are red flags."</w:t>
      </w:r>
    </w:p>
    <w:p>
      <w:pPr>
        <w:spacing w:before="120" w:after="40"/>
      </w:pPr>
      <w:r>
        <w:rPr>
          <w:b/>
          <w:sz w:val="21"/>
          <w:shd w:fill="D6E4F0" w:val="clear"/>
        </w:rPr>
        <w:t>A项错误</w:t>
      </w:r>
    </w:p>
    <w:p>
      <w:pPr>
        <w:spacing w:line="360" w:lineRule="auto" w:after="40"/>
        <w:ind w:firstLine="420"/>
      </w:pPr>
      <w:r>
        <w:t>抵押贷款产品属于信贷相关基础服务</w:t>
      </w:r>
      <w:r>
        <w:rPr>
          <w:sz w:val="15"/>
          <w:vertAlign w:val="superscript"/>
        </w:rPr>
        <w:t>P67</w:t>
      </w:r>
      <w:r>
        <w:t>，教材并未将其单独列为房地产洗钱迹象；相比之下，使用复杂贷款或信贷融资更直接指向教材所警示的复杂产品被利用来洗钱的风险</w:t>
      </w:r>
      <w:r>
        <w:rPr>
          <w:sz w:val="15"/>
          <w:vertAlign w:val="superscript"/>
        </w:rPr>
        <w:t>P54</w:t>
      </w:r>
      <w:r>
        <w:t>。</w:t>
      </w:r>
    </w:p>
    <w:p>
      <w:pPr>
        <w:spacing w:line="360" w:lineRule="auto" w:after="40"/>
        <w:ind w:firstLine="420"/>
      </w:pPr>
      <w:r>
        <w:t>F项错误：教材在房地产洗钱风险指标中未涉及农业用地或农村地区土地类型，题干未提供FATF将此类土地使用视为洗钱迹象的依据，因此与正确项相比匹配度明显不足。</w:t>
      </w:r>
    </w:p>
    <w:p>
      <w:pPr>
        <w:spacing w:before="120" w:after="40"/>
      </w:pPr>
      <w:r>
        <w:rPr>
          <w:b/>
          <w:sz w:val="21"/>
          <w:shd w:fill="D6E4F0" w:val="clear"/>
        </w:rPr>
        <w:t>易错提醒</w:t>
      </w:r>
    </w:p>
    <w:p>
      <w:pPr>
        <w:spacing w:line="360" w:lineRule="auto" w:after="40"/>
        <w:ind w:firstLine="420"/>
      </w:pPr>
      <w:r>
        <w:t>需区分“常规贷款产品”与“复杂贷款或信贷融资”。房贷、个人贷款等是正常银行业务</w:t>
      </w:r>
      <w:r>
        <w:rPr>
          <w:sz w:val="15"/>
          <w:vertAlign w:val="superscript"/>
        </w:rPr>
        <w:t>P67</w:t>
      </w:r>
      <w:r>
        <w:t>，本身并非红旗信号；而复杂贷款或信贷融资因结构或条款不透明，可能用于分层资金，被教材列为银行复杂产品中的洗钱风险</w:t>
      </w:r>
      <w:r>
        <w:rPr>
          <w:sz w:val="15"/>
          <w:vertAlign w:val="superscript"/>
        </w:rPr>
        <w:t>P54</w:t>
      </w:r>
      <w:r>
        <w:t>。</w:t>
      </w:r>
    </w:p>
    <w:p>
      <w:pPr>
        <w:spacing w:line="360" w:lineRule="auto" w:after="120"/>
      </w:pPr>
      <w:r/>
    </w:p>
    <w:p>
      <w:pPr>
        <w:spacing w:line="360" w:lineRule="auto" w:after="40"/>
      </w:pPr>
      <w:r>
        <w:t>26. 在金融犯罪中,游戏账户被滥用会带来哪些具体风险？(选择三项.) ( )</w:t>
      </w:r>
    </w:p>
    <w:p>
      <w:pPr>
        <w:spacing w:line="360" w:lineRule="auto" w:after="20"/>
        <w:ind w:firstLine="283"/>
      </w:pPr>
      <w:r>
        <w:t>A. 利用游戏账号在玩家之间转移非法资金而不被察觉</w:t>
      </w:r>
    </w:p>
    <w:p>
      <w:pPr>
        <w:spacing w:line="360" w:lineRule="auto" w:after="20"/>
        <w:ind w:firstLine="283"/>
      </w:pPr>
      <w:r>
        <w:t>B. 通过将交易金额控制在一定限度以下来安排交易,以规避报告门槛</w:t>
      </w:r>
    </w:p>
    <w:p>
      <w:pPr>
        <w:spacing w:line="360" w:lineRule="auto" w:after="20"/>
        <w:ind w:firstLine="283"/>
      </w:pPr>
      <w:r>
        <w:t>C. 提供虚假个人信息以逃避监管审查</w:t>
      </w:r>
    </w:p>
    <w:p>
      <w:pPr>
        <w:spacing w:line="360" w:lineRule="auto" w:after="20"/>
        <w:ind w:firstLine="283"/>
      </w:pPr>
      <w:r>
        <w:t>D. 确保在新客户入职前完成身份验证工作</w:t>
      </w:r>
    </w:p>
    <w:p>
      <w:pPr>
        <w:spacing w:line="360" w:lineRule="auto" w:after="20"/>
        <w:ind w:firstLine="283"/>
      </w:pPr>
      <w:r>
        <w:t>E. 将所有博彩赢来的钱投入高风险股票以隐匿资金</w:t>
      </w:r>
    </w:p>
    <w:p>
      <w:pPr>
        <w:spacing w:line="360" w:lineRule="auto" w:after="40"/>
      </w:pPr>
      <w:r>
        <w:t>答案:A、B、C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识别博彩业场景下的结构化交易、价值转移与身份伪造风险</w:t>
      </w:r>
    </w:p>
    <w:p>
      <w:pPr>
        <w:spacing w:before="120" w:after="40"/>
      </w:pPr>
      <w:r>
        <w:rPr>
          <w:b/>
          <w:sz w:val="21"/>
          <w:shd w:fill="D6E4F0" w:val="clear"/>
        </w:rPr>
        <w:t>核心解析</w:t>
      </w:r>
    </w:p>
    <w:p>
      <w:pPr>
        <w:spacing w:line="360" w:lineRule="auto" w:after="40"/>
        <w:ind w:firstLine="420"/>
      </w:pPr>
      <w:r>
        <w:t>实体和在线博彩均易受某些金融犯罪风险的影响</w:t>
      </w:r>
      <w:r>
        <w:rPr>
          <w:sz w:val="15"/>
          <w:vertAlign w:val="superscript"/>
        </w:rPr>
        <w:t>P121</w:t>
      </w:r>
      <w:r>
        <w:t>。题干问的是游戏账户被滥用带来的具体风险，教材在博彩业风险部分列出了三类与之直接吻合的典型手法：第一，在P2P或串通博彩中，参与者可能故意输给另一个玩家以转移价值，对应利用游戏账号在玩家之间转移非法资金</w:t>
      </w:r>
      <w:r>
        <w:rPr>
          <w:sz w:val="15"/>
          <w:vertAlign w:val="superscript"/>
        </w:rPr>
        <w:t>P121</w:t>
      </w:r>
      <w:r>
        <w:t>；第二，博彩业存在通过第三方和多笔交易来规避报告门槛的结构化交易风险，对应将交易金额控制在报告门槛以下的安排</w:t>
      </w:r>
      <w:r>
        <w:rPr>
          <w:sz w:val="15"/>
          <w:vertAlign w:val="superscript"/>
        </w:rPr>
        <w:t>P121</w:t>
      </w:r>
      <w:r>
        <w:t>；第三，赌场和在线运营商容易遭受使用伪造文件开设多个账户的洗钱方式，对应提供虚假个人信息以逃避监管审查</w:t>
      </w:r>
      <w:r>
        <w:rPr>
          <w:sz w:val="15"/>
          <w:vertAlign w:val="superscript"/>
        </w:rPr>
        <w:t>P120</w:t>
      </w:r>
      <w:r>
        <w:t>。这三项都是教材明确描述的游戏账户相关洗钱风险，且题干逐项与之匹配。</w:t>
      </w:r>
    </w:p>
    <w:p>
      <w:pPr>
        <w:spacing w:before="120" w:after="40"/>
      </w:pPr>
      <w:r>
        <w:rPr>
          <w:b/>
          <w:sz w:val="21"/>
          <w:shd w:fill="D6E4F0" w:val="clear"/>
        </w:rPr>
        <w:t>D项错误</w:t>
      </w:r>
    </w:p>
    <w:p>
      <w:pPr>
        <w:spacing w:line="360" w:lineRule="auto" w:after="40"/>
        <w:ind w:firstLine="420"/>
      </w:pPr>
      <w:r>
        <w:t>确保新客户入职前完成身份验证是一项风险缓释措施，而非滥用游戏账户带来的风险。题干问的是“被滥用会带来哪些具体风险”，D描述的行为方向与题干相反，在教材框架下更贴近反洗钱合规控制，而非风险本身。</w:t>
      </w:r>
    </w:p>
    <w:p>
      <w:pPr>
        <w:spacing w:before="120" w:after="40"/>
      </w:pPr>
      <w:r>
        <w:rPr>
          <w:b/>
          <w:sz w:val="21"/>
          <w:shd w:fill="D6E4F0" w:val="clear"/>
        </w:rPr>
        <w:t>E项错误</w:t>
      </w:r>
    </w:p>
    <w:p>
      <w:pPr>
        <w:spacing w:line="360" w:lineRule="auto" w:after="40"/>
        <w:ind w:firstLine="420"/>
      </w:pPr>
      <w:r>
        <w:t>将博彩赢得的钱投入高风险股票属于离析阶段的投资行为，教材提到犯罪分子利用股票等投资工具分层非法资金</w:t>
      </w:r>
      <w:r>
        <w:rPr>
          <w:sz w:val="15"/>
          <w:vertAlign w:val="superscript"/>
        </w:rPr>
        <w:t>P18</w:t>
      </w:r>
      <w:r>
        <w:t>，但这并非游戏账户滥用本身的风险，而是资金离开游戏账户之后的后续处理手段。相比之下，正确项A、B、C均为发生在游戏账户内部或开户环节的滥用行为，更直接匹配题干对“游戏账户被滥用”的限定。</w:t>
      </w:r>
    </w:p>
    <w:p>
      <w:pPr>
        <w:spacing w:before="120" w:after="40"/>
      </w:pPr>
      <w:r>
        <w:rPr>
          <w:b/>
          <w:sz w:val="21"/>
          <w:shd w:fill="D6E4F0" w:val="clear"/>
        </w:rPr>
        <w:t>易错提醒</w:t>
      </w:r>
    </w:p>
    <w:p>
      <w:pPr>
        <w:spacing w:line="360" w:lineRule="auto" w:after="40"/>
        <w:ind w:firstLine="420"/>
      </w:pPr>
      <w:r>
        <w:t>D项描述的身份验证是反洗钱控制措施，不是风险。题目问的是风险（可能被利用的漏洞），而非对风险的防范。两者方向相反——控制措施是“防止”滥用，风险是“被”滥用。看到选项时先判断它是“进攻”（犯罪分子在做什么）还是“防守”（机构在做什么），题干问“风险”时选进攻性的描述。</w:t>
      </w:r>
    </w:p>
    <w:p>
      <w:pPr>
        <w:spacing w:line="360" w:lineRule="auto" w:after="120"/>
      </w:pPr>
      <w:r/>
    </w:p>
    <w:p>
      <w:pPr>
        <w:spacing w:line="360" w:lineRule="auto" w:after="40"/>
      </w:pPr>
      <w:r>
        <w:t>27. 被提名人如何为滥用其进行洗钱活动的犯罪分子提供便利?(选择两项.) ( )</w:t>
      </w:r>
    </w:p>
    <w:p>
      <w:pPr>
        <w:spacing w:line="360" w:lineRule="auto" w:after="20"/>
        <w:ind w:firstLine="283"/>
      </w:pPr>
      <w:r>
        <w:t>A. 允许受益所有人就公司决策提供代理投票权</w:t>
      </w:r>
    </w:p>
    <w:p>
      <w:pPr>
        <w:spacing w:line="360" w:lineRule="auto" w:after="20"/>
        <w:ind w:firstLine="283"/>
      </w:pPr>
      <w:r>
        <w:t>B. 不透明的实际所有权</w:t>
      </w:r>
    </w:p>
    <w:p>
      <w:pPr>
        <w:spacing w:line="360" w:lineRule="auto" w:after="20"/>
        <w:ind w:firstLine="283"/>
      </w:pPr>
      <w:r>
        <w:t>C. 允许在被提名人所在司法管辖区设立住所</w:t>
      </w:r>
    </w:p>
    <w:p>
      <w:pPr>
        <w:spacing w:line="360" w:lineRule="auto" w:after="20"/>
        <w:ind w:firstLine="283"/>
      </w:pPr>
      <w:r>
        <w:t>D. 干扰调查</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名义人便利洗钱的核心方式：隐藏受益所有权与干扰调查</w:t>
      </w:r>
    </w:p>
    <w:p>
      <w:pPr>
        <w:spacing w:before="120" w:after="40"/>
      </w:pPr>
      <w:r>
        <w:rPr>
          <w:b/>
          <w:sz w:val="21"/>
          <w:shd w:fill="D6E4F0" w:val="clear"/>
        </w:rPr>
        <w:t>核心解析</w:t>
      </w:r>
    </w:p>
    <w:p>
      <w:pPr>
        <w:spacing w:line="360" w:lineRule="auto" w:after="40"/>
        <w:ind w:firstLine="420"/>
      </w:pPr>
      <w:r>
        <w:t>名义董事或股东可被用于隐藏最终受益所有人（UBO）身份，通过匿名层增加洗钱风险</w:t>
      </w:r>
      <w:r>
        <w:rPr>
          <w:sz w:val="15"/>
          <w:vertAlign w:val="superscript"/>
        </w:rPr>
        <w:t>P127</w:t>
      </w:r>
      <w:r>
        <w:t>。同时，犯罪分子可利用名义结构远离非法活动，并将其作为在监管薄弱辖区转移资金的掩护</w:t>
      </w:r>
      <w:r>
        <w:rPr>
          <w:sz w:val="15"/>
          <w:vertAlign w:val="superscript"/>
        </w:rPr>
        <w:t>P127</w:t>
      </w:r>
      <w:r>
        <w:t>。由此，名义人通过掩盖真实所有权（选项B）以使资金溯源复杂化，并借此脱离犯罪直接关联、制造调查障碍（选项D），从而为洗钱提供便利。</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A项错误</w:t>
      </w:r>
    </w:p>
    <w:p>
      <w:pPr>
        <w:spacing w:line="360" w:lineRule="auto" w:after="40"/>
        <w:ind w:firstLine="420"/>
      </w:pPr>
      <w:r>
        <w:t>代理投票权属于公司治理层面的安排，与洗钱便利的核心机制——隐藏受益所有人身份或阻挠资金追踪——关联较弱。教材讨论名义人滥用风险时未将代理投票列为典型手段，相比之下，选项B和D更直接吻合教材对名义结构洗钱风险的界定。</w:t>
      </w:r>
    </w:p>
    <w:p>
      <w:pPr>
        <w:spacing w:before="120" w:after="40"/>
      </w:pPr>
      <w:r>
        <w:rPr>
          <w:b/>
          <w:sz w:val="21"/>
          <w:shd w:fill="D6E4F0" w:val="clear"/>
        </w:rPr>
        <w:t>C项错误</w:t>
      </w:r>
    </w:p>
    <w:p>
      <w:pPr>
        <w:spacing w:line="360" w:lineRule="auto" w:after="40"/>
        <w:ind w:firstLine="420"/>
      </w:pPr>
      <w:r>
        <w:t>允许在名义人所在司法管辖区设立住所本身是公司注册的常见安排，并不必然构成洗钱便利。教材强调名义人被用于模糊所有权结构和作为跨境资金转移的掩护，而非单纯提供住所地。题干问的是直接便利洗钱的方式，设立住所相比隐藏受益所有权和干扰调查，与教材描述的名义人风险特征匹配度更低。</w:t>
      </w:r>
    </w:p>
    <w:p>
      <w:pPr>
        <w:spacing w:before="120" w:after="40"/>
      </w:pPr>
      <w:r>
        <w:rPr>
          <w:b/>
          <w:sz w:val="21"/>
          <w:shd w:fill="D6E4F0" w:val="clear"/>
        </w:rPr>
        <w:t>易错提醒</w:t>
      </w:r>
    </w:p>
    <w:p>
      <w:pPr>
        <w:spacing w:line="360" w:lineRule="auto" w:after="40"/>
        <w:ind w:firstLine="420"/>
      </w:pPr>
      <w:r>
        <w:t>名义人提供的合法商业服务（如代理投票、设立住所）与洗钱便利的核心区别在于是否直接创造受益所有权的匿名性，或是否刻意阻碍非法资金来源的追踪。若一项安排仅涉及日常公司治理或注册地址，而未实质隐藏真实控制人或干扰调查，则不属于教材强调的名义人洗钱风险。</w:t>
      </w:r>
    </w:p>
    <w:p>
      <w:pPr>
        <w:spacing w:line="360" w:lineRule="auto" w:after="120"/>
      </w:pPr>
      <w:r/>
    </w:p>
    <w:p>
      <w:pPr>
        <w:spacing w:line="360" w:lineRule="auto" w:after="40"/>
      </w:pPr>
      <w:r>
        <w:t>28. 哪些信托和公司服务提供商(TCSP)的特征可能使其容易受到金融犯罪的侵害？(选择三项.) ( )</w:t>
      </w:r>
    </w:p>
    <w:p>
      <w:pPr>
        <w:spacing w:line="360" w:lineRule="auto" w:after="20"/>
        <w:ind w:firstLine="283"/>
      </w:pPr>
      <w:r>
        <w:t>A. 他们可能会专门向罪犯推销自己</w:t>
      </w:r>
    </w:p>
    <w:p>
      <w:pPr>
        <w:spacing w:line="360" w:lineRule="auto" w:after="20"/>
        <w:ind w:firstLine="283"/>
      </w:pPr>
      <w:r>
        <w:t>B. 提供代名董事可能会通过隐瞒真实所有权来增加匿名性</w:t>
      </w:r>
    </w:p>
    <w:p>
      <w:pPr>
        <w:spacing w:line="360" w:lineRule="auto" w:after="20"/>
        <w:ind w:firstLine="283"/>
      </w:pPr>
      <w:r>
        <w:t>C. 在大多数司法管辖区,他们无需遵守反洗钱法规</w:t>
      </w:r>
    </w:p>
    <w:p>
      <w:pPr>
        <w:spacing w:line="360" w:lineRule="auto" w:after="20"/>
        <w:ind w:firstLine="283"/>
      </w:pPr>
      <w:r>
        <w:t>D. 向境外中介机构出售现成的公司</w:t>
      </w:r>
    </w:p>
    <w:p>
      <w:pPr>
        <w:spacing w:line="360" w:lineRule="auto" w:after="20"/>
        <w:ind w:firstLine="283"/>
      </w:pPr>
      <w:r>
        <w:t>E. 与客户面对面接触极少,尤其是在离岸安排的情况下</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TCSP业务特征如何通过匿名性和离岸渠道增加洗钱风险</w:t>
      </w:r>
    </w:p>
    <w:p>
      <w:pPr>
        <w:spacing w:before="120" w:after="40"/>
      </w:pPr>
      <w:r>
        <w:rPr>
          <w:b/>
          <w:sz w:val="21"/>
          <w:shd w:fill="D6E4F0" w:val="clear"/>
        </w:rPr>
        <w:t>核心解析</w:t>
      </w:r>
    </w:p>
    <w:p>
      <w:pPr>
        <w:spacing w:line="360" w:lineRule="auto" w:after="40"/>
        <w:ind w:firstLine="420"/>
      </w:pPr>
      <w:r>
        <w:t>代名董事或股东可被用于隐藏最终受益所有人身份，增加洗钱风险</w:t>
      </w:r>
      <w:r>
        <w:rPr>
          <w:sz w:val="15"/>
          <w:vertAlign w:val="superscript"/>
        </w:rPr>
        <w:t>P127</w:t>
      </w:r>
      <w:r>
        <w:t>。现成公司带来更高的洗钱风险</w:t>
      </w:r>
      <w:r>
        <w:rPr>
          <w:sz w:val="15"/>
          <w:vertAlign w:val="superscript"/>
        </w:rPr>
        <w:t>P127</w:t>
      </w:r>
      <w:r>
        <w:t>。离岸公司面临有限的公开记录和复杂的国际交易流，使TCSP成为重要的守门人</w:t>
      </w:r>
      <w:r>
        <w:rPr>
          <w:sz w:val="15"/>
          <w:vertAlign w:val="superscript"/>
        </w:rPr>
        <w:t>P127</w:t>
      </w:r>
      <w:r>
        <w:t>，同时非面对面业务关系在未采取适当风险缓解措施时被视为高风险</w:t>
      </w:r>
      <w:r>
        <w:rPr>
          <w:sz w:val="15"/>
          <w:vertAlign w:val="superscript"/>
        </w:rPr>
        <w:t>P404</w:t>
      </w:r>
      <w:r>
        <w:t>。本题中，B项提供代名董事直接对应通过隐藏真实所有权制造匿名层的风险；D项出售现成公司给境外中介，结合了现成公司的高风险和离岸中介的复杂交易流；E项与客户面对面接触极少，尤其在离岸安排下，同时涉及离岸公司的保密性障碍和非面对面交付渠道的高风险。三项均指向TCSP业务模式中固有的匿名性和远程性特征，使其容易受到金融犯罪侵害。</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A项错误</w:t>
      </w:r>
    </w:p>
    <w:p>
      <w:pPr>
        <w:spacing w:line="360" w:lineRule="auto" w:after="40"/>
        <w:ind w:firstLine="420"/>
      </w:pPr>
      <w:r>
        <w:t>教材描述犯罪分子利用TCSP掩盖真实所有权</w:t>
      </w:r>
      <w:r>
        <w:rPr>
          <w:sz w:val="15"/>
          <w:vertAlign w:val="superscript"/>
        </w:rPr>
        <w:t>P126</w:t>
      </w:r>
      <w:r>
        <w:t>，并未提及TCSP主动向罪犯推销。正确项B、D、E聚焦于TCSP业务本身提供的匿名性、现成结构和远程交付等固有风险，比“专门推销”更直接反映其脆弱性来源。</w:t>
      </w:r>
    </w:p>
    <w:p>
      <w:pPr>
        <w:spacing w:before="120" w:after="40"/>
      </w:pPr>
      <w:r>
        <w:rPr>
          <w:b/>
          <w:sz w:val="21"/>
          <w:shd w:fill="D6E4F0" w:val="clear"/>
        </w:rPr>
        <w:t>C项错误</w:t>
      </w:r>
    </w:p>
    <w:p>
      <w:pPr>
        <w:spacing w:line="360" w:lineRule="auto" w:after="40"/>
        <w:ind w:firstLine="420"/>
      </w:pPr>
      <w:r>
        <w:t>教材指出在一些国家（如美国）TCSP曾无需遵守反洗钱法规</w:t>
      </w:r>
      <w:r>
        <w:rPr>
          <w:sz w:val="15"/>
          <w:vertAlign w:val="superscript"/>
        </w:rPr>
        <w:t>P117</w:t>
      </w:r>
      <w:r>
        <w:t>，但这并非大多数司法辖区的普遍情形；FATF建议将TCSP全面纳入AML框架。正确项展示的业务特征（代名、现成公司、非面对面）才是TCSP易受犯罪侵害的内在原因，即使法规健全，这些风险依然存在。</w:t>
      </w:r>
    </w:p>
    <w:p>
      <w:pPr>
        <w:spacing w:before="120" w:after="40"/>
      </w:pPr>
      <w:r>
        <w:rPr>
          <w:b/>
          <w:sz w:val="21"/>
          <w:shd w:fill="D6E4F0" w:val="clear"/>
        </w:rPr>
        <w:t>易错提醒</w:t>
      </w:r>
    </w:p>
    <w:p>
      <w:pPr>
        <w:spacing w:line="360" w:lineRule="auto" w:after="40"/>
        <w:ind w:firstLine="420"/>
      </w:pPr>
      <w:r>
        <w:t>TCSP的脆弱性根源在于业务构造（代名服务、现成公司、非面对面交付）带来的匿名性和识别障碍，而非豁免反洗钱法规。即使在全面监管的司法辖区，这些特征仍使TCSP暴露于洗钱风险。</w:t>
      </w:r>
    </w:p>
    <w:p>
      <w:pPr>
        <w:spacing w:line="360" w:lineRule="auto" w:after="120"/>
      </w:pPr>
      <w:r/>
    </w:p>
    <w:p>
      <w:pPr>
        <w:spacing w:line="360" w:lineRule="auto" w:after="40"/>
      </w:pPr>
      <w:r>
        <w:t>29. 从金融犯罪的角度来看,会计事务所提供的哪些服务可能被视为风险较高的服务？(选择三项.) ( )</w:t>
      </w:r>
    </w:p>
    <w:p>
      <w:pPr>
        <w:spacing w:line="360" w:lineRule="auto" w:after="20"/>
        <w:ind w:firstLine="283"/>
      </w:pPr>
      <w:r>
        <w:t>A. 代表客户设立结构复杂的信托并担任委托董事</w:t>
      </w:r>
    </w:p>
    <w:p>
      <w:pPr>
        <w:spacing w:line="360" w:lineRule="auto" w:after="20"/>
        <w:ind w:firstLine="283"/>
      </w:pPr>
      <w:r>
        <w:t>B. 对一家为大型企业客户提供薪资软件的公司进行审计</w:t>
      </w:r>
    </w:p>
    <w:p>
      <w:pPr>
        <w:spacing w:line="360" w:lineRule="auto" w:after="20"/>
        <w:ind w:firstLine="283"/>
      </w:pPr>
      <w:r>
        <w:t>C. 为上市公司或私营企业编制财务报表</w:t>
      </w:r>
    </w:p>
    <w:p>
      <w:pPr>
        <w:spacing w:line="360" w:lineRule="auto" w:after="20"/>
        <w:ind w:firstLine="283"/>
      </w:pPr>
      <w:r>
        <w:t>D. 为希望将资产转移出本国的国际客户提供税务建议</w:t>
      </w:r>
    </w:p>
    <w:p>
      <w:pPr>
        <w:spacing w:line="360" w:lineRule="auto" w:after="20"/>
        <w:ind w:firstLine="283"/>
      </w:pPr>
      <w:r>
        <w:t>E. 协助一家来自无受益所有人信息可查的司法管辖区的离岸公司购买英国房产</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区分会计师不同服务类型对应的金融犯罪风险高低</w:t>
      </w:r>
    </w:p>
    <w:p>
      <w:pPr>
        <w:spacing w:before="120" w:after="40"/>
      </w:pPr>
      <w:r>
        <w:rPr>
          <w:b/>
          <w:sz w:val="21"/>
          <w:shd w:fill="D6E4F0" w:val="clear"/>
        </w:rPr>
        <w:t>核心解析</w:t>
      </w:r>
    </w:p>
    <w:p>
      <w:pPr>
        <w:spacing w:line="360" w:lineRule="auto" w:after="40"/>
        <w:ind w:firstLine="420"/>
      </w:pPr>
      <w:r>
        <w:t>会计师提供的各类服务对应不同的洗钱风险</w:t>
      </w:r>
      <w:r>
        <w:rPr>
          <w:sz w:val="15"/>
          <w:vertAlign w:val="superscript"/>
        </w:rPr>
        <w:t>P123</w:t>
      </w:r>
      <w:r>
        <w:t>。判断一项服务是否属于高风险，关键看其是否涉及“隐藏真实所有权”或“协助资金非法跨境转移”这两大核心风险要素。选项A中，设立复杂信托并担任名义董事，直接命中教材关于名义服务可被用于隐藏UBO身份的风险指标</w:t>
      </w:r>
      <w:r>
        <w:rPr>
          <w:sz w:val="15"/>
          <w:vertAlign w:val="superscript"/>
        </w:rPr>
        <w:t>P127</w:t>
      </w:r>
      <w:r>
        <w:t>。选项D中，为国际客户提供“转移资产出境”的税务建议，直接对应教材关于会计师可能无意中协助逃税、后续交易成为洗钱渠道的风险研判</w:t>
      </w:r>
      <w:r>
        <w:rPr>
          <w:sz w:val="15"/>
          <w:vertAlign w:val="superscript"/>
        </w:rPr>
        <w:t>P123</w:t>
      </w:r>
      <w:r>
        <w:t>。选项E中，协助来自无受益所有人信息可查的司法管辖区的离岸公司购房，叠加了“离岸公司”（高保密、弱监管，P127）与“无法查证受益所有人”（P122、P129案例中BVI的同类情形）双重风险，在房地产交易场景下构成高风险。三者共同特征是被滥用于掩盖真实所有权或资金流向，而常规审计（B）和财务报表编制（C）属于会计师核心专业服务，在教材框架下不直接涉及上述高风险要素。</w:t>
      </w:r>
    </w:p>
    <w:p>
      <w:pPr>
        <w:spacing w:before="120" w:after="40"/>
      </w:pPr>
      <w:r>
        <w:rPr>
          <w:b/>
          <w:sz w:val="21"/>
          <w:shd w:fill="D6E4F0" w:val="clear"/>
        </w:rPr>
        <w:t>教材原句</w:t>
      </w:r>
    </w:p>
    <w:p>
      <w:pPr>
        <w:spacing w:line="360" w:lineRule="auto" w:after="40"/>
        <w:ind w:firstLine="420"/>
      </w:pPr>
      <w:r>
        <w:t>"Accountants provide various services, some of which are listed below. These services have corresponding money laundering risks."</w:t>
      </w:r>
    </w:p>
    <w:p>
      <w:pPr>
        <w:spacing w:before="120" w:after="40"/>
      </w:pPr>
      <w:r>
        <w:rPr>
          <w:b/>
          <w:sz w:val="21"/>
          <w:shd w:fill="D6E4F0" w:val="clear"/>
        </w:rPr>
        <w:t>B项错误</w:t>
      </w:r>
    </w:p>
    <w:p>
      <w:pPr>
        <w:spacing w:line="360" w:lineRule="auto" w:after="40"/>
        <w:ind w:firstLine="420"/>
      </w:pPr>
      <w:r>
        <w:t>选项B是为提供薪资软件的公司做审计，被审计对象本身及审计服务的性质在材料中均未出现隐藏所有权或跨境转移资产等高风险要素，属于常规审计服务，在教材框架下与高风险特征的匹配度远低于正确项。</w:t>
      </w:r>
    </w:p>
    <w:p>
      <w:pPr>
        <w:spacing w:before="120" w:after="40"/>
      </w:pPr>
      <w:r>
        <w:rPr>
          <w:b/>
          <w:sz w:val="21"/>
          <w:shd w:fill="D6E4F0" w:val="clear"/>
        </w:rPr>
        <w:t>C项错误</w:t>
      </w:r>
    </w:p>
    <w:p>
      <w:pPr>
        <w:spacing w:line="360" w:lineRule="auto" w:after="40"/>
        <w:ind w:firstLine="420"/>
      </w:pPr>
      <w:r>
        <w:t>选项C是为上市公司或私营企业编制财务报表，属于会计师常规专业功能。教材提及会计师因接触敏感财务信息而面临洗钱风险</w:t>
      </w:r>
      <w:r>
        <w:rPr>
          <w:sz w:val="15"/>
          <w:vertAlign w:val="superscript"/>
        </w:rPr>
        <w:t>P123</w:t>
      </w:r>
      <w:r>
        <w:t>，但常规报表编制本身并未像正确项那样叠加“复杂结构”“资产转移出境”“受益所有人不透明”等高风险触发因素，匹配度显著低于A、D、E。</w:t>
      </w:r>
    </w:p>
    <w:p>
      <w:pPr>
        <w:spacing w:before="120" w:after="40"/>
      </w:pPr>
      <w:r>
        <w:rPr>
          <w:b/>
          <w:sz w:val="21"/>
          <w:shd w:fill="D6E4F0" w:val="clear"/>
        </w:rPr>
        <w:t>易错提醒</w:t>
      </w:r>
    </w:p>
    <w:p>
      <w:pPr>
        <w:spacing w:line="360" w:lineRule="auto" w:after="40"/>
        <w:ind w:firstLine="420"/>
      </w:pPr>
      <w:r>
        <w:t>会计师不同服务的风险高低，不取决于“是不是财务工作”，而取决于“是否容易被用于隐藏所有权或转移资金”。常规审计、报表编制等核心专业功能风险天然较低；涉及为他人设立名义结构、提供离岸税务建议、协助无透明受益所有人信息的实体进行交易时，风险显著上升。</w:t>
      </w:r>
    </w:p>
    <w:p>
      <w:pPr>
        <w:spacing w:line="360" w:lineRule="auto" w:after="120"/>
      </w:pPr>
      <w:r/>
    </w:p>
    <w:p>
      <w:pPr>
        <w:spacing w:line="360" w:lineRule="auto" w:after="40"/>
      </w:pPr>
      <w:r>
        <w:t>30. 房地产行业固有的哪些风险具有最高的反洗钱/反恐怖融资风险？(选择两项.) ( )</w:t>
      </w:r>
    </w:p>
    <w:p>
      <w:pPr>
        <w:spacing w:line="360" w:lineRule="auto" w:after="20"/>
        <w:ind w:firstLine="283"/>
      </w:pPr>
      <w:r>
        <w:t>A. 用现金购买房产</w:t>
      </w:r>
    </w:p>
    <w:p>
      <w:pPr>
        <w:spacing w:line="360" w:lineRule="auto" w:after="20"/>
        <w:ind w:firstLine="283"/>
      </w:pPr>
      <w:r>
        <w:t>B. 无照房产中介充当幌子公司</w:t>
      </w:r>
    </w:p>
    <w:p>
      <w:pPr>
        <w:spacing w:line="360" w:lineRule="auto" w:after="20"/>
        <w:ind w:firstLine="283"/>
      </w:pPr>
      <w:r>
        <w:t>C. 利用注册信托购买房产</w:t>
      </w:r>
    </w:p>
    <w:p>
      <w:pPr>
        <w:spacing w:line="360" w:lineRule="auto" w:after="20"/>
        <w:ind w:firstLine="283"/>
      </w:pPr>
      <w:r>
        <w:t>D. 利用公司购买房产</w:t>
      </w:r>
    </w:p>
    <w:p>
      <w:pPr>
        <w:spacing w:line="360" w:lineRule="auto" w:after="20"/>
        <w:ind w:firstLine="283"/>
      </w:pPr>
      <w:r>
        <w:t>E. 对财产价值的操纵</w:t>
      </w:r>
    </w:p>
    <w:p>
      <w:pPr>
        <w:spacing w:line="360" w:lineRule="auto" w:after="40"/>
      </w:pPr>
      <w:r>
        <w:t>答案:A、E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识别房地产行业洗钱中资金直接操纵与价值扭曲的固有风险</w:t>
      </w:r>
    </w:p>
    <w:p>
      <w:pPr>
        <w:spacing w:before="120" w:after="40"/>
      </w:pPr>
      <w:r>
        <w:rPr>
          <w:b/>
          <w:sz w:val="21"/>
          <w:shd w:fill="D6E4F0" w:val="clear"/>
        </w:rPr>
        <w:t>核心解析</w:t>
      </w:r>
    </w:p>
    <w:p>
      <w:pPr>
        <w:spacing w:line="360" w:lineRule="auto" w:after="40"/>
        <w:ind w:firstLine="420"/>
      </w:pPr>
      <w:r>
        <w:t>房地产行业的最高洗钱风险集中在资金与价值的直接操纵。现金交易难以追踪，增加了洗钱可能性</w:t>
      </w:r>
      <w:r>
        <w:rPr>
          <w:sz w:val="15"/>
          <w:vertAlign w:val="superscript"/>
        </w:rPr>
        <w:t>P122</w:t>
      </w:r>
      <w:r>
        <w:t>，而全部或主要用现金支付更是明确的红旗信号</w:t>
      </w:r>
      <w:r>
        <w:rPr>
          <w:sz w:val="15"/>
          <w:vertAlign w:val="superscript"/>
        </w:rPr>
        <w:t>P122</w:t>
      </w:r>
      <w:r>
        <w:t>。此外，犯罪分子通过抬高或压低资产价值来操纵金融交易、掩盖资金真实性质</w:t>
      </w:r>
      <w:r>
        <w:rPr>
          <w:sz w:val="15"/>
          <w:vertAlign w:val="superscript"/>
        </w:rPr>
        <w:t>P129</w:t>
      </w:r>
      <w:r>
        <w:t>，这一手段直接扭曲交易本质。题干问的是“固有”且“最高”的风险，现金切断审计线索、操纵价值歪曲交易基础，两者均无需依赖额外条件（如是否无照、是否解释不足），本身就是洗钱的核心工具。</w:t>
      </w:r>
    </w:p>
    <w:p>
      <w:pPr>
        <w:spacing w:before="120" w:after="40"/>
      </w:pPr>
      <w:r>
        <w:rPr>
          <w:b/>
          <w:sz w:val="21"/>
          <w:shd w:fill="D6E4F0" w:val="clear"/>
        </w:rPr>
        <w:t>教材原句</w:t>
      </w:r>
    </w:p>
    <w:p>
      <w:pPr>
        <w:spacing w:line="360" w:lineRule="auto" w:after="40"/>
        <w:ind w:firstLine="420"/>
      </w:pPr>
      <w:r>
        <w:t>"Cash transactions remain relatively common in some markets and increase the potential for money laundering, as cash is more challenging to trace than payments made through financial institutions."</w:t>
      </w:r>
    </w:p>
    <w:p>
      <w:pPr>
        <w:spacing w:before="120" w:after="40"/>
      </w:pPr>
      <w:r>
        <w:rPr>
          <w:b/>
          <w:sz w:val="21"/>
          <w:shd w:fill="D6E4F0" w:val="clear"/>
        </w:rPr>
        <w:t>B项错误</w:t>
      </w:r>
    </w:p>
    <w:p>
      <w:pPr>
        <w:spacing w:line="360" w:lineRule="auto" w:after="40"/>
        <w:ind w:firstLine="420"/>
      </w:pPr>
      <w:r>
        <w:t>“无照房产中介”与“幌子公司”是两个独立概念。教材将幌子公司定义为从事部分合法业务以掩护另一公司</w:t>
      </w:r>
      <w:r>
        <w:rPr>
          <w:sz w:val="15"/>
          <w:vertAlign w:val="superscript"/>
        </w:rPr>
        <w:t>P54</w:t>
      </w:r>
      <w:r>
        <w:t>，而本题缺失了“从事合法业务”这一构成要件，仅凭无照经营不足以将其定性为幌子公司。相比之下，选项A、E直接描述了可操作的洗钱手段，匹配度更高。</w:t>
      </w:r>
    </w:p>
    <w:p>
      <w:pPr>
        <w:spacing w:before="120" w:after="40"/>
      </w:pPr>
      <w:r>
        <w:rPr>
          <w:b/>
          <w:sz w:val="21"/>
          <w:shd w:fill="D6E4F0" w:val="clear"/>
        </w:rPr>
        <w:t>C项错误</w:t>
      </w:r>
    </w:p>
    <w:p>
      <w:pPr>
        <w:spacing w:line="360" w:lineRule="auto" w:after="40"/>
        <w:ind w:firstLine="420"/>
      </w:pPr>
      <w:r>
        <w:t>教材指出，通过信托购买房产仅在“无合理解释”时才构成红旗信号</w:t>
      </w:r>
      <w:r>
        <w:rPr>
          <w:sz w:val="15"/>
          <w:vertAlign w:val="superscript"/>
        </w:rPr>
        <w:t>P121</w:t>
      </w:r>
      <w:r>
        <w:t>。“注册信托”本身是合法安排，题干未附任何异常条件（如无正当理由、结构复杂不合理等），因此它不如选项A和E那样直接构成固有风险——后者无需额外条件即可成立。</w:t>
      </w:r>
    </w:p>
    <w:p>
      <w:pPr>
        <w:spacing w:before="120" w:after="40"/>
      </w:pPr>
      <w:r>
        <w:rPr>
          <w:b/>
          <w:sz w:val="21"/>
          <w:shd w:fill="D6E4F0" w:val="clear"/>
        </w:rPr>
        <w:t>D项错误</w:t>
      </w:r>
    </w:p>
    <w:p>
      <w:pPr>
        <w:spacing w:line="360" w:lineRule="auto" w:after="40"/>
        <w:ind w:firstLine="420"/>
      </w:pPr>
      <w:r>
        <w:t>与选项C逻辑一致，使用公司购买房产仅在伴随“无合理解释”或结构复杂、掩盖受益所有人时才构成洗钱风险。题干描述的是单纯的“利用公司购买”，教材中对应的风险指标（如壳公司）需额外要素支撑</w:t>
      </w:r>
      <w:r>
        <w:rPr>
          <w:sz w:val="15"/>
          <w:vertAlign w:val="superscript"/>
        </w:rPr>
        <w:t>P74、P121</w:t>
      </w:r>
      <w:r>
        <w:t>，匹配度不如直接操纵资金和价值的方式。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