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CH04</w:t>
      </w:r>
    </w:p>
    <w:p>
      <w:pPr>
        <w:spacing w:line="360" w:lineRule="auto" w:after="160"/>
      </w:pPr>
      <w:r>
        <w:t>一、单项选择题</w:t>
      </w:r>
    </w:p>
    <w:p>
      <w:pPr>
        <w:spacing w:line="360" w:lineRule="auto" w:after="40"/>
      </w:pPr>
      <w:r>
        <w:t>1. 哪种运营情况可能表明洗钱活动正在通过一家接受存款的金融机构进行？ ( )</w:t>
      </w:r>
    </w:p>
    <w:p>
      <w:pPr>
        <w:spacing w:line="360" w:lineRule="auto" w:after="20"/>
        <w:ind w:firstLine="283"/>
      </w:pPr>
      <w:r>
        <w:t>A. 该机构注意到客户对大面额钞票的需求有所增加.</w:t>
      </w:r>
    </w:p>
    <w:p>
      <w:pPr>
        <w:spacing w:line="360" w:lineRule="auto" w:after="20"/>
        <w:ind w:firstLine="283"/>
      </w:pPr>
      <w:r>
        <w:t>B. 该机构对其出售的货币工具进行连续编号并记录在案.</w:t>
      </w:r>
    </w:p>
    <w:p>
      <w:pPr>
        <w:spacing w:line="360" w:lineRule="auto" w:after="20"/>
        <w:ind w:firstLine="283"/>
      </w:pPr>
      <w:r>
        <w:t>C. 该机构注意到,在支持资金快速转移或汇款的交易服务中,结算时间有所缩短.</w:t>
      </w:r>
    </w:p>
    <w:p>
      <w:pPr>
        <w:spacing w:line="360" w:lineRule="auto" w:after="20"/>
        <w:ind w:firstLine="283"/>
      </w:pPr>
      <w:r>
        <w:t>D. 该机构注意到其数字产品和服务的采用率有所上升.</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将大量现金需求识别为与存款机构相关的洗钱风险信号</w:t>
      </w:r>
    </w:p>
    <w:p>
      <w:pPr>
        <w:spacing w:before="120" w:after="40"/>
      </w:pPr>
      <w:r>
        <w:rPr>
          <w:b/>
          <w:sz w:val="21"/>
          <w:shd w:fill="D6E4F0" w:val="clear"/>
        </w:rPr>
        <w:t>核心解析</w:t>
      </w:r>
    </w:p>
    <w:p>
      <w:pPr>
        <w:spacing w:line="360" w:lineRule="auto" w:after="40"/>
        <w:ind w:firstLine="420"/>
      </w:pPr>
      <w:r>
        <w:t>大额现金交易可被视为潜在非法活动的指向标</w:t>
      </w:r>
      <w:r>
        <w:rPr>
          <w:sz w:val="15"/>
          <w:vertAlign w:val="superscript"/>
        </w:rPr>
        <w:t>P137</w:t>
      </w:r>
      <w:r>
        <w:t>。同样，大额快速取款结合高风险资金来源暗示可能洗钱</w:t>
      </w:r>
      <w:r>
        <w:rPr>
          <w:sz w:val="15"/>
          <w:vertAlign w:val="superscript"/>
        </w:rPr>
        <w:t>P354</w:t>
      </w:r>
      <w:r>
        <w:t>。接受存款的金融机构客户对大面额钞票需求增加，本质上反映大额现金需求异常上升，与教材中列出的风险指标直接吻合，因此可作为洗钱活动正在发生的潜在迹象。</w:t>
      </w:r>
    </w:p>
    <w:p>
      <w:pPr>
        <w:spacing w:before="120" w:after="40"/>
      </w:pPr>
      <w:r>
        <w:rPr>
          <w:b/>
          <w:sz w:val="21"/>
          <w:shd w:fill="D6E4F0" w:val="clear"/>
        </w:rPr>
        <w:t>教材原句</w:t>
      </w:r>
    </w:p>
    <w:p>
      <w:pPr>
        <w:spacing w:line="360" w:lineRule="auto" w:after="40"/>
        <w:ind w:firstLine="420"/>
      </w:pPr>
      <w:r>
        <w:t>"Substantial cash transactions, which might indicate potential illicit activities."</w:t>
      </w:r>
    </w:p>
    <w:p>
      <w:pPr>
        <w:spacing w:before="120" w:after="40"/>
      </w:pPr>
      <w:r>
        <w:rPr>
          <w:b/>
          <w:sz w:val="21"/>
          <w:shd w:fill="D6E4F0" w:val="clear"/>
        </w:rPr>
        <w:t>B项错误</w:t>
      </w:r>
    </w:p>
    <w:p>
      <w:pPr>
        <w:spacing w:line="360" w:lineRule="auto" w:after="40"/>
        <w:ind w:firstLine="420"/>
      </w:pPr>
      <w:r>
        <w:t>连续编号并记录货币工具出售属于《银行保密法》下的合规记录要求，目的是便于追踪和报告，本身是一种内部控制措施，而非展示异常的运营情况。题干寻找的是可能表明洗钱活动的迹象，相比A，B更接近合规实践而非风险信号。</w:t>
      </w:r>
    </w:p>
    <w:p>
      <w:pPr>
        <w:spacing w:before="120" w:after="40"/>
      </w:pPr>
      <w:r>
        <w:rPr>
          <w:b/>
          <w:sz w:val="21"/>
          <w:shd w:fill="D6E4F0" w:val="clear"/>
        </w:rPr>
        <w:t>C项错误</w:t>
      </w:r>
    </w:p>
    <w:p>
      <w:pPr>
        <w:spacing w:line="360" w:lineRule="auto" w:after="40"/>
        <w:ind w:firstLine="420"/>
      </w:pPr>
      <w:r>
        <w:t>结算时间缩短在教材中作为区块链技术的优势提及</w:t>
      </w:r>
      <w:r>
        <w:rPr>
          <w:sz w:val="15"/>
          <w:vertAlign w:val="superscript"/>
        </w:rPr>
        <w:t>P110</w:t>
      </w:r>
      <w:r>
        <w:t>，是技术能力提升的客观结果，不必然指向洗钱。题干要求找出能够指示洗钱活动的情况，C所描述的变化更可能源于系统升级，与可疑活动的直接关联度不如A。</w:t>
      </w:r>
    </w:p>
    <w:p>
      <w:pPr>
        <w:spacing w:before="120" w:after="40"/>
      </w:pPr>
      <w:r>
        <w:rPr>
          <w:b/>
          <w:sz w:val="21"/>
          <w:shd w:fill="D6E4F0" w:val="clear"/>
        </w:rPr>
        <w:t>D项错误</w:t>
      </w:r>
    </w:p>
    <w:p>
      <w:pPr>
        <w:spacing w:line="360" w:lineRule="auto" w:after="40"/>
        <w:ind w:firstLine="420"/>
      </w:pPr>
      <w:r>
        <w:t>数字产品和服务采用率上升是客户行为数字化迁移的正常趋势，教材指出数字身份技术能提升效率和风险管理</w:t>
      </w:r>
      <w:r>
        <w:rPr>
          <w:sz w:val="15"/>
          <w:vertAlign w:val="superscript"/>
        </w:rPr>
        <w:t>P408</w:t>
      </w:r>
      <w:r>
        <w:t>，并未将其列为洗钱风险指标。题干要求的是洗钱活动可能发生的信号，D缺少异常性和与非法资金流动的关联，不如A贴合教材的风险判断框架。</w:t>
      </w:r>
    </w:p>
    <w:p>
      <w:pPr>
        <w:spacing w:line="360" w:lineRule="auto" w:after="120"/>
      </w:pPr>
      <w:r/>
    </w:p>
    <w:p>
      <w:pPr>
        <w:spacing w:line="360" w:lineRule="auto" w:after="40"/>
      </w:pPr>
      <w:r>
        <w:t>2. 一名反洗钱合规官正在评估新客户的资料。以下哪项最可能表明该客户存在洗钱风险？ ( )</w:t>
      </w:r>
    </w:p>
    <w:p>
      <w:pPr>
        <w:spacing w:line="360" w:lineRule="auto" w:after="20"/>
        <w:ind w:firstLine="283"/>
      </w:pPr>
      <w:r>
        <w:t>A. 客户提供的信息与公开资料或业务活动不一致</w:t>
      </w:r>
    </w:p>
    <w:p>
      <w:pPr>
        <w:spacing w:line="360" w:lineRule="auto" w:after="20"/>
        <w:ind w:firstLine="283"/>
      </w:pPr>
      <w:r>
        <w:t>B. 客户要求降低服务费用</w:t>
      </w:r>
    </w:p>
    <w:p>
      <w:pPr>
        <w:spacing w:line="360" w:lineRule="auto" w:after="20"/>
        <w:ind w:firstLine="283"/>
      </w:pPr>
      <w:r>
        <w:t>C. 客户询问账户开立流程所需时间</w:t>
      </w:r>
    </w:p>
    <w:p>
      <w:pPr>
        <w:spacing w:line="360" w:lineRule="auto" w:after="20"/>
        <w:ind w:firstLine="283"/>
      </w:pPr>
      <w:r>
        <w:t>D. 客户提供了完整的身份证明文件</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识别客户信息与公开资料不一致作为洗钱风险指标</w:t>
      </w:r>
    </w:p>
    <w:p>
      <w:pPr>
        <w:spacing w:before="120" w:after="40"/>
      </w:pPr>
      <w:r>
        <w:rPr>
          <w:b/>
          <w:sz w:val="21"/>
          <w:shd w:fill="D6E4F0" w:val="clear"/>
        </w:rPr>
        <w:t>核心解析</w:t>
      </w:r>
    </w:p>
    <w:p>
      <w:pPr>
        <w:spacing w:line="360" w:lineRule="auto" w:after="40"/>
        <w:ind w:firstLine="420"/>
      </w:pPr>
      <w:r>
        <w:t>教材在Goodwish Jade案例中展示：反洗钱官员发现该珠宝商有多笔午夜大额现金交易，而网站显示其营业时间为早10点至晚6点且无网店，交易时间与正常业务严重不符，由此引发洗钱嫌疑</w:t>
      </w:r>
      <w:r>
        <w:rPr>
          <w:sz w:val="15"/>
          <w:vertAlign w:val="superscript"/>
        </w:rPr>
        <w:t>P129</w:t>
      </w:r>
      <w:r>
        <w:t>。这一案例表明，客户提供的信息或实际交易模式与公开资料、正常业务活动不一致，是洗钱风险的重要指示信号。本题中，选项A直接描述了这种“不一致”，与教材案例揭示的风险逻辑高度吻合，因此在四个选项中，它最可能表明客户存在洗钱风险。</w:t>
      </w:r>
    </w:p>
    <w:p>
      <w:pPr>
        <w:spacing w:before="120" w:after="40"/>
      </w:pPr>
      <w:r>
        <w:rPr>
          <w:b/>
          <w:sz w:val="21"/>
          <w:shd w:fill="D6E4F0" w:val="clear"/>
        </w:rPr>
        <w:t>B项错误</w:t>
      </w:r>
    </w:p>
    <w:p>
      <w:pPr>
        <w:spacing w:line="360" w:lineRule="auto" w:after="40"/>
        <w:ind w:firstLine="420"/>
      </w:pPr>
      <w:r>
        <w:t>教材未有将“要求降低服务费用”列为洗钱风险指标，该要求与洗钱行为之间缺乏直接关联。在评估新客户风险时，信息不一致比单纯的费用协商更直接指向洗钱可能，因而选项B的匹配度低于A。</w:t>
      </w:r>
    </w:p>
    <w:p>
      <w:pPr>
        <w:spacing w:before="120" w:after="40"/>
      </w:pPr>
      <w:r>
        <w:rPr>
          <w:b/>
          <w:sz w:val="21"/>
          <w:shd w:fill="D6E4F0" w:val="clear"/>
        </w:rPr>
        <w:t>C项错误</w:t>
      </w:r>
    </w:p>
    <w:p>
      <w:pPr>
        <w:spacing w:line="360" w:lineRule="auto" w:after="40"/>
        <w:ind w:firstLine="420"/>
      </w:pPr>
      <w:r>
        <w:t>教材指出电子KYC可在数小时甚至数分钟内完成开户</w:t>
      </w:r>
      <w:r>
        <w:rPr>
          <w:sz w:val="15"/>
          <w:vertAlign w:val="superscript"/>
        </w:rPr>
        <w:t>P405</w:t>
      </w:r>
      <w:r>
        <w:t>，客户询问流程时间通常只是关心效率，并未显示任何规避审查或隐瞒意图。相比之下，题干更支持信息不一致作为风险信号，询问操作时间本身的警示力度不如A。</w:t>
      </w:r>
    </w:p>
    <w:p>
      <w:pPr>
        <w:spacing w:before="120" w:after="40"/>
      </w:pPr>
      <w:r>
        <w:rPr>
          <w:b/>
          <w:sz w:val="21"/>
          <w:shd w:fill="D6E4F0" w:val="clear"/>
        </w:rPr>
        <w:t>D项错误</w:t>
      </w:r>
    </w:p>
    <w:p>
      <w:pPr>
        <w:spacing w:line="360" w:lineRule="auto" w:after="40"/>
        <w:ind w:firstLine="420"/>
      </w:pPr>
      <w:r>
        <w:t>提供完整身份证明文件是客户配合KYC义务的体现，有利于降低信息不透明带来的风险，而非指示洗钱风险。在教材框架下，合规行为与洗钱风险信号的指向相反，因此D的风险指示性远弱于A。</w:t>
      </w:r>
    </w:p>
    <w:p>
      <w:pPr>
        <w:spacing w:line="360" w:lineRule="auto" w:after="120"/>
      </w:pPr>
      <w:r/>
    </w:p>
    <w:p>
      <w:pPr>
        <w:spacing w:line="360" w:lineRule="auto" w:after="40"/>
      </w:pPr>
      <w:r>
        <w:t>3. 以下哪一项是表明通过贵金属或高价值物品经销商进行潜在洗钱或恐怖主义融资的危险信号？ ( )</w:t>
      </w:r>
    </w:p>
    <w:p>
      <w:pPr>
        <w:spacing w:line="360" w:lineRule="auto" w:after="20"/>
        <w:ind w:firstLine="283"/>
      </w:pPr>
      <w:r>
        <w:t>A. 一位客户想用现金和加密货币的组合来购买金条</w:t>
      </w:r>
    </w:p>
    <w:p>
      <w:pPr>
        <w:spacing w:line="360" w:lineRule="auto" w:after="20"/>
        <w:ind w:firstLine="283"/>
      </w:pPr>
      <w:r>
        <w:t>B. 一位顾客明确要求购买经过金伯利进程认证的切割钻石</w:t>
      </w:r>
    </w:p>
    <w:p>
      <w:pPr>
        <w:spacing w:line="360" w:lineRule="auto" w:after="20"/>
        <w:ind w:firstLine="283"/>
      </w:pPr>
      <w:r>
        <w:t>C. 一位顾客用信用卡向古董商支付了一件高价古董的款项</w:t>
      </w:r>
    </w:p>
    <w:p>
      <w:pPr>
        <w:spacing w:line="360" w:lineRule="auto" w:after="20"/>
        <w:ind w:firstLine="283"/>
      </w:pPr>
      <w:r>
        <w:t>D. 一位顾客想要为其用现金购买的一款高端限量版豪华手表索取一张手写收据</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混合现金与加密货币支付构成贵金属交易可疑资金来源红旗</w:t>
      </w:r>
    </w:p>
    <w:p>
      <w:pPr>
        <w:spacing w:before="120" w:after="40"/>
      </w:pPr>
      <w:r>
        <w:rPr>
          <w:b/>
          <w:sz w:val="21"/>
          <w:shd w:fill="D6E4F0" w:val="clear"/>
        </w:rPr>
        <w:t>核心解析</w:t>
      </w:r>
    </w:p>
    <w:p>
      <w:pPr>
        <w:spacing w:line="360" w:lineRule="auto" w:after="40"/>
        <w:ind w:firstLine="420"/>
      </w:pPr>
      <w:r>
        <w:t>贵金属和宝石经销商因商品便携且易变现而面临较高洗钱风险，犯罪分子可通过高价值购买再转售隐藏非法资金</w:t>
      </w:r>
      <w:r>
        <w:rPr>
          <w:sz w:val="15"/>
          <w:vertAlign w:val="superscript"/>
        </w:rPr>
        <w:t>P119</w:t>
      </w:r>
      <w:r>
        <w:t>。涉及来源不明或可疑资金的交易被列为高价值资产洗钱的红旗信号</w:t>
      </w:r>
      <w:r>
        <w:rPr>
          <w:sz w:val="15"/>
          <w:vertAlign w:val="superscript"/>
        </w:rPr>
        <w:t>P128</w:t>
      </w:r>
      <w:r>
        <w:t>，大额现金购买缺乏明确资金来源或证明文件也是红旗</w:t>
      </w:r>
      <w:r>
        <w:rPr>
          <w:sz w:val="15"/>
          <w:vertAlign w:val="superscript"/>
        </w:rPr>
        <w:t>P128</w:t>
      </w:r>
      <w:r>
        <w:t>。现金具有匿名性，加密货币（尤其是隐私币）进一步增加追踪难度</w:t>
      </w:r>
      <w:r>
        <w:rPr>
          <w:sz w:val="15"/>
          <w:vertAlign w:val="superscript"/>
        </w:rPr>
        <w:t>P111</w:t>
      </w:r>
      <w:r>
        <w:t>。客户用“现金+加密货币”组合购买金条，两种支付方式都极难验证资金来源的合法性和清晰性，直接触发“涉及来源不明或可疑资金”的红旗信号，因此A正确。</w:t>
      </w:r>
    </w:p>
    <w:p>
      <w:pPr>
        <w:spacing w:before="120" w:after="40"/>
      </w:pPr>
      <w:r>
        <w:rPr>
          <w:b/>
          <w:sz w:val="21"/>
          <w:shd w:fill="D6E4F0" w:val="clear"/>
        </w:rPr>
        <w:t>教材原句</w:t>
      </w:r>
    </w:p>
    <w:p>
      <w:pPr>
        <w:spacing w:line="360" w:lineRule="auto" w:after="40"/>
        <w:ind w:firstLine="420"/>
      </w:pPr>
      <w:r>
        <w:t>"Transactions which involve funds from unknown or suspicious sources"</w:t>
      </w:r>
    </w:p>
    <w:p>
      <w:pPr>
        <w:spacing w:before="120" w:after="40"/>
      </w:pPr>
      <w:r>
        <w:rPr>
          <w:b/>
          <w:sz w:val="21"/>
          <w:shd w:fill="D6E4F0" w:val="clear"/>
        </w:rPr>
        <w:t>B项错误</w:t>
      </w:r>
    </w:p>
    <w:p>
      <w:pPr>
        <w:spacing w:line="360" w:lineRule="auto" w:after="40"/>
        <w:ind w:firstLine="420"/>
      </w:pPr>
      <w:r>
        <w:t>要求购买金伯利进程认证钻石是寻求合法来源证明的正当行为，旨在避免冲突钻石风险，与洗钱者隐藏来源的方向相反，教材未将其列为红旗信号。</w:t>
      </w:r>
    </w:p>
    <w:p>
      <w:pPr>
        <w:spacing w:before="120" w:after="40"/>
      </w:pPr>
      <w:r>
        <w:rPr>
          <w:b/>
          <w:sz w:val="21"/>
          <w:shd w:fill="D6E4F0" w:val="clear"/>
        </w:rPr>
        <w:t>C项错误</w:t>
      </w:r>
    </w:p>
    <w:p>
      <w:pPr>
        <w:spacing w:line="360" w:lineRule="auto" w:after="40"/>
        <w:ind w:firstLine="420"/>
      </w:pPr>
      <w:r>
        <w:t>信用卡支付具备明确的交易记录和发卡行审核，资金流向可追踪，与现金及加密货币的匿名性不同；教材红旗信号强调资金来源不明或可疑</w:t>
      </w:r>
      <w:r>
        <w:rPr>
          <w:sz w:val="15"/>
          <w:vertAlign w:val="superscript"/>
        </w:rPr>
        <w:t>P128</w:t>
      </w:r>
      <w:r>
        <w:t>，信用卡支付通常不被视为这类红旗，其洗钱风险信号比A的组合支付更弱。</w:t>
      </w:r>
    </w:p>
    <w:p>
      <w:pPr>
        <w:spacing w:before="120" w:after="40"/>
      </w:pPr>
      <w:r>
        <w:rPr>
          <w:b/>
          <w:sz w:val="21"/>
          <w:shd w:fill="D6E4F0" w:val="clear"/>
        </w:rPr>
        <w:t>D项错误</w:t>
      </w:r>
    </w:p>
    <w:p>
      <w:pPr>
        <w:spacing w:line="360" w:lineRule="auto" w:after="40"/>
        <w:ind w:firstLine="420"/>
      </w:pPr>
      <w:r>
        <w:t>客户主动索要收据是希望获得购买凭证，属正常消费者行为；洗钱者通常避免留下交易记录以模糊资金流向。该行为与隐藏资金来源的危险信号相悖，不如A直接匹配可疑资金来源的红旗。</w:t>
      </w:r>
    </w:p>
    <w:p>
      <w:pPr>
        <w:spacing w:before="120" w:after="40"/>
      </w:pPr>
      <w:r>
        <w:rPr>
          <w:b/>
          <w:sz w:val="21"/>
          <w:shd w:fill="D6E4F0" w:val="clear"/>
        </w:rPr>
        <w:t>易错提醒</w:t>
      </w:r>
    </w:p>
    <w:p>
      <w:pPr>
        <w:spacing w:line="360" w:lineRule="auto" w:after="40"/>
        <w:ind w:firstLine="420"/>
      </w:pPr>
      <w:r>
        <w:t>洗钱者倾向于隐藏交易记录以模糊资金流向，而正常客户索要收据是获取交易证明的合理要求；红旗信号聚焦于资金来源不明（如现金与加密货币组合支付），而非交易是否有收据。</w:t>
      </w:r>
    </w:p>
    <w:p>
      <w:pPr>
        <w:spacing w:line="360" w:lineRule="auto" w:after="120"/>
      </w:pPr>
      <w:r/>
    </w:p>
    <w:p>
      <w:pPr>
        <w:spacing w:line="360" w:lineRule="auto" w:after="40"/>
      </w:pPr>
      <w:r>
        <w:t>4. 以下哪一项是非政府组织（NGO）打击洗钱活动的常见策略？ ( )</w:t>
      </w:r>
    </w:p>
    <w:p>
      <w:pPr>
        <w:spacing w:line="360" w:lineRule="auto" w:after="20"/>
        <w:ind w:firstLine="283"/>
      </w:pPr>
      <w:r>
        <w:t>A. 协助金融情报机构（FIU）分析可疑活动报告（SAR）</w:t>
      </w:r>
    </w:p>
    <w:p>
      <w:pPr>
        <w:spacing w:line="360" w:lineRule="auto" w:after="20"/>
        <w:ind w:firstLine="283"/>
      </w:pPr>
      <w:r>
        <w:t>B. 直接在法庭上起诉洗钱者</w:t>
      </w:r>
    </w:p>
    <w:p>
      <w:pPr>
        <w:spacing w:line="360" w:lineRule="auto" w:after="20"/>
        <w:ind w:firstLine="283"/>
      </w:pPr>
      <w:r>
        <w:t>C. 向各国政府提供财政援助，以加强其反洗钱工作</w:t>
      </w:r>
    </w:p>
    <w:p>
      <w:pPr>
        <w:spacing w:line="360" w:lineRule="auto" w:after="20"/>
        <w:ind w:firstLine="283"/>
      </w:pPr>
      <w:r>
        <w:t>D. 提高对洗钱问题及其后果的认识</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区分NGO与政府机构在AML中的职能边界</w:t>
      </w:r>
    </w:p>
    <w:p>
      <w:pPr>
        <w:spacing w:before="120" w:after="40"/>
      </w:pPr>
      <w:r>
        <w:rPr>
          <w:b/>
          <w:sz w:val="21"/>
          <w:shd w:fill="D6E4F0" w:val="clear"/>
        </w:rPr>
        <w:t>核心解析</w:t>
      </w:r>
    </w:p>
    <w:p>
      <w:pPr>
        <w:spacing w:line="360" w:lineRule="auto" w:after="40"/>
        <w:ind w:firstLine="420"/>
      </w:pPr>
      <w:r>
        <w:t>NGO指与特定司法管辖区政府无直接关联的非营利组织</w:t>
      </w:r>
      <w:r>
        <w:rPr>
          <w:sz w:val="15"/>
          <w:vertAlign w:val="superscript"/>
        </w:rPr>
        <w:t>P134</w:t>
      </w:r>
      <w:r>
        <w:t>。这一性质决定了NGO不具备直接执法、起诉或向政府提供财政援助的权能。其打击洗钱的策略多为间接的、倡导性的，如开展研究、倡导政策、教育公众。选项D“提高对洗钱问题及其后果的认识”，正是此类典型策略，比具备政府职能性质的A、B、C更吻合教材对NGO的定位。</w:t>
      </w:r>
    </w:p>
    <w:p>
      <w:pPr>
        <w:spacing w:before="120" w:after="40"/>
      </w:pPr>
      <w:r>
        <w:rPr>
          <w:b/>
          <w:sz w:val="21"/>
          <w:shd w:fill="D6E4F0" w:val="clear"/>
        </w:rPr>
        <w:t>教材原句</w:t>
      </w:r>
    </w:p>
    <w:p>
      <w:pPr>
        <w:spacing w:line="360" w:lineRule="auto" w:after="40"/>
        <w:ind w:firstLine="420"/>
      </w:pPr>
      <w:r>
        <w:t>"An NGO is a nonprofit organization that is not directly linked to the governments of specific jurisdictions."</w:t>
      </w:r>
    </w:p>
    <w:p>
      <w:pPr>
        <w:spacing w:before="120" w:after="40"/>
      </w:pPr>
      <w:r>
        <w:rPr>
          <w:b/>
          <w:sz w:val="21"/>
          <w:shd w:fill="D6E4F0" w:val="clear"/>
        </w:rPr>
        <w:t>A项错误</w:t>
      </w:r>
    </w:p>
    <w:p>
      <w:pPr>
        <w:spacing w:line="360" w:lineRule="auto" w:after="40"/>
        <w:ind w:firstLine="420"/>
      </w:pPr>
      <w:r>
        <w:t>教材规定，金融情报机构（FIU）负责分析可疑交易报告以支持执法</w:t>
      </w:r>
      <w:r>
        <w:rPr>
          <w:sz w:val="15"/>
          <w:vertAlign w:val="superscript"/>
        </w:rPr>
        <w:t>P149</w:t>
      </w:r>
      <w:r>
        <w:t>。这是政府职能，NGO作为非政府实体，不承担此类法定职责。相比之下，NGO的角色更贴合倡导与提高认识。</w:t>
      </w:r>
    </w:p>
    <w:p>
      <w:pPr>
        <w:spacing w:before="120" w:after="40"/>
      </w:pPr>
      <w:r>
        <w:rPr>
          <w:b/>
          <w:sz w:val="21"/>
          <w:shd w:fill="D6E4F0" w:val="clear"/>
        </w:rPr>
        <w:t>B项错误</w:t>
      </w:r>
    </w:p>
    <w:p>
      <w:pPr>
        <w:spacing w:line="360" w:lineRule="auto" w:after="40"/>
        <w:ind w:firstLine="420"/>
      </w:pPr>
      <w:r>
        <w:t>教材将调查、起诉洗钱者归为执法部门及检察机关的职能</w:t>
      </w:r>
      <w:r>
        <w:rPr>
          <w:sz w:val="15"/>
          <w:vertAlign w:val="superscript"/>
        </w:rPr>
        <w:t>P228</w:t>
      </w:r>
      <w:r>
        <w:t>。NGO不具备司法权力，其反洗钱贡献以倡导、教育为主，不如D项直接匹配NGO的非政府属性。</w:t>
      </w:r>
    </w:p>
    <w:p>
      <w:pPr>
        <w:spacing w:before="120" w:after="40"/>
      </w:pPr>
      <w:r>
        <w:rPr>
          <w:b/>
          <w:sz w:val="21"/>
          <w:shd w:fill="D6E4F0" w:val="clear"/>
        </w:rPr>
        <w:t>C项错误</w:t>
      </w:r>
    </w:p>
    <w:p>
      <w:pPr>
        <w:spacing w:line="360" w:lineRule="auto" w:after="40"/>
        <w:ind w:firstLine="420"/>
      </w:pPr>
      <w:r>
        <w:t>教材指出慈善机构与NGO通常享有免税地位，鼓励公众向其捐款</w:t>
      </w:r>
      <w:r>
        <w:rPr>
          <w:sz w:val="15"/>
          <w:vertAlign w:val="superscript"/>
        </w:rPr>
        <w:t>P134</w:t>
      </w:r>
      <w:r>
        <w:t>，但未提及NGO向政府提供财政援助。题干未提供任何支持这一职能的依据，而D项所述“提高认识”更符合NGO的倡导性质。</w:t>
      </w:r>
    </w:p>
    <w:p>
      <w:pPr>
        <w:spacing w:before="120" w:after="40"/>
      </w:pPr>
      <w:r>
        <w:rPr>
          <w:b/>
          <w:sz w:val="21"/>
          <w:shd w:fill="D6E4F0" w:val="clear"/>
        </w:rPr>
        <w:t>易错提醒</w:t>
      </w:r>
    </w:p>
    <w:p>
      <w:pPr>
        <w:spacing w:line="360" w:lineRule="auto" w:after="40"/>
        <w:ind w:firstLine="420"/>
      </w:pPr>
      <w:r>
        <w:t>区分NGO与政府、执法机构：NGO是与政府无直接关联的非营利组织</w:t>
      </w:r>
      <w:r>
        <w:rPr>
          <w:sz w:val="15"/>
          <w:vertAlign w:val="superscript"/>
        </w:rPr>
        <w:t>P134</w:t>
      </w:r>
      <w:r>
        <w:t>，其反洗钱手段以倡导、教育为主；而分析SAR、起诉、财政援助均属政府或执法职能。遇到类似题，先判断组织性质，再匹配其职能。</w:t>
      </w:r>
    </w:p>
    <w:p>
      <w:pPr>
        <w:spacing w:line="360" w:lineRule="auto" w:after="120"/>
      </w:pPr>
      <w:r/>
    </w:p>
    <w:p>
      <w:pPr>
        <w:spacing w:line="360" w:lineRule="auto" w:after="40"/>
      </w:pPr>
      <w:r>
        <w:t>5. 在了解您的客户/客户尽职调查(KYC/CDD)过程中,识别政治公众人物(PEP)的任何"家庭成员"或"密切关系人"至关重要,因为他们可能是: ( )</w:t>
      </w:r>
    </w:p>
    <w:p>
      <w:pPr>
        <w:spacing w:line="360" w:lineRule="auto" w:after="20"/>
        <w:ind w:firstLine="283"/>
      </w:pPr>
      <w:r>
        <w:t>A. 为与其个人财富不相称的自身业务执行跨境交易.</w:t>
      </w:r>
    </w:p>
    <w:p>
      <w:pPr>
        <w:spacing w:line="360" w:lineRule="auto" w:after="20"/>
        <w:ind w:firstLine="283"/>
      </w:pPr>
      <w:r>
        <w:t>B. 能够提供更多关于该政治公众人物行踪和隐匿财产的信息.</w:t>
      </w:r>
    </w:p>
    <w:p>
      <w:pPr>
        <w:spacing w:line="360" w:lineRule="auto" w:after="20"/>
        <w:ind w:firstLine="283"/>
      </w:pPr>
      <w:r>
        <w:t>C. 经常前往离岸司法管辖区度假,这使他们面临更高的反洗钱风险.</w:t>
      </w:r>
    </w:p>
    <w:p>
      <w:pPr>
        <w:spacing w:line="360" w:lineRule="auto" w:after="20"/>
        <w:ind w:firstLine="283"/>
      </w:pPr>
      <w:r>
        <w:t>D. 作为中间人协助贿赂或腐败行为,或为政治公众人物隐瞒非法财富.</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政治敏感人物定义涵盖其家庭成员与密切关联人的贿赂腐败风险</w:t>
      </w:r>
    </w:p>
    <w:p>
      <w:pPr>
        <w:spacing w:before="120" w:after="40"/>
      </w:pPr>
      <w:r>
        <w:rPr>
          <w:b/>
          <w:sz w:val="21"/>
          <w:shd w:fill="D6E4F0" w:val="clear"/>
        </w:rPr>
        <w:t>核心解析</w:t>
      </w:r>
    </w:p>
    <w:p>
      <w:pPr>
        <w:spacing w:line="360" w:lineRule="auto" w:after="40"/>
        <w:ind w:firstLine="420"/>
      </w:pPr>
      <w:r>
        <w:t>教材将政治敏感人物（PEP）定义为“担任显要公职的个人，及其直系亲属或密切关联人，可能面临更高的贿赂和腐败风险”</w:t>
      </w:r>
      <w:r>
        <w:rPr>
          <w:sz w:val="15"/>
          <w:vertAlign w:val="superscript"/>
        </w:rPr>
        <w:t>P137</w:t>
      </w:r>
      <w:r>
        <w:t>。同时指出，部分司法管辖区将PEP分类扩展至家庭成员和密切关联人，正因为他们“可能间接参与金融犯罪”</w:t>
      </w:r>
      <w:r>
        <w:rPr>
          <w:sz w:val="15"/>
          <w:vertAlign w:val="superscript"/>
        </w:rPr>
        <w:t>P320</w:t>
      </w:r>
      <w:r>
        <w:t>。题干设问的核心是“为什么要识别这些人”，教材给出的理由直接落在他们的犯罪参与风险上——家庭成员和密切关联人可能被PEP利用，充当中间人协助贿赂或腐败，或者帮忙隐瞒非法财富。选项D“作为中间人协助贿赂或腐败行为，或为政治公众人物隐瞒非法财富”精准命中了这个风险本质：它不是在描述一般性的可疑行为，而是在描述家庭成员/密切关系人被纳入PEP定义的底层原因——他们本身就是PEP洗钱、受贿、转移非法资金的通道和工具。</w:t>
      </w:r>
    </w:p>
    <w:p>
      <w:pPr>
        <w:spacing w:before="120" w:after="40"/>
      </w:pPr>
      <w:r>
        <w:rPr>
          <w:b/>
          <w:sz w:val="21"/>
          <w:shd w:fill="D6E4F0" w:val="clear"/>
        </w:rPr>
        <w:t>教材原句</w:t>
      </w:r>
    </w:p>
    <w:p>
      <w:pPr>
        <w:spacing w:line="360" w:lineRule="auto" w:after="40"/>
        <w:ind w:firstLine="420"/>
      </w:pPr>
      <w:r>
        <w:t>"A PEP is an individual in a prominent political function, or their immediate family or close associates, who could be at higher risk for involvement in bribery and corruption."</w:t>
      </w:r>
    </w:p>
    <w:p>
      <w:pPr>
        <w:spacing w:before="120" w:after="40"/>
      </w:pPr>
      <w:r>
        <w:rPr>
          <w:b/>
          <w:sz w:val="21"/>
          <w:shd w:fill="D6E4F0" w:val="clear"/>
        </w:rPr>
        <w:t>A项错误</w:t>
      </w:r>
    </w:p>
    <w:p>
      <w:pPr>
        <w:spacing w:line="360" w:lineRule="auto" w:after="40"/>
        <w:ind w:firstLine="420"/>
      </w:pPr>
      <w:r>
        <w:t>教材虽在跨境交易章节提及合规复杂性</w:t>
      </w:r>
      <w:r>
        <w:rPr>
          <w:sz w:val="15"/>
          <w:vertAlign w:val="superscript"/>
        </w:rPr>
        <w:t>P95</w:t>
      </w:r>
      <w:r>
        <w:t>，在私人银行部分也提到跨境担保贷款的洗钱风险</w:t>
      </w:r>
      <w:r>
        <w:rPr>
          <w:sz w:val="15"/>
          <w:vertAlign w:val="superscript"/>
        </w:rPr>
        <w:t>P72</w:t>
      </w:r>
      <w:r>
        <w:t>，但这些属于一般客户可能呈现的风险特征，与PEP家庭成员/密切关系人的核心风险定义不在同一个层次。教材将PEP相关风险的核心界定为贿赂和腐败</w:t>
      </w:r>
      <w:r>
        <w:rPr>
          <w:sz w:val="15"/>
          <w:vertAlign w:val="superscript"/>
        </w:rPr>
        <w:t>P137</w:t>
      </w:r>
      <w:r>
        <w:t>，题干条件的匹配度明显更偏向D，而非A所描述的自身商业跨境交易。</w:t>
      </w:r>
    </w:p>
    <w:p>
      <w:pPr>
        <w:spacing w:before="120" w:after="40"/>
      </w:pPr>
      <w:r>
        <w:rPr>
          <w:b/>
          <w:sz w:val="21"/>
          <w:shd w:fill="D6E4F0" w:val="clear"/>
        </w:rPr>
        <w:t>B项错误</w:t>
      </w:r>
    </w:p>
    <w:p>
      <w:pPr>
        <w:spacing w:line="360" w:lineRule="auto" w:after="40"/>
        <w:ind w:firstLine="420"/>
      </w:pPr>
      <w:r>
        <w:t>教材提到执法部门利用SAR报告追踪资金和获取数据</w:t>
      </w:r>
      <w:r>
        <w:rPr>
          <w:sz w:val="15"/>
          <w:vertAlign w:val="superscript"/>
        </w:rPr>
        <w:t>P363</w:t>
      </w:r>
      <w:r>
        <w:t>，且PEP数据库本身也是外部数据来源之一</w:t>
      </w:r>
      <w:r>
        <w:rPr>
          <w:sz w:val="15"/>
          <w:vertAlign w:val="superscript"/>
        </w:rPr>
        <w:t>P466</w:t>
      </w:r>
      <w:r>
        <w:t>，但这描述的是执法调查手段和信息源，不是KYC/CDD中识别家庭成员/密切关系人的原因。题干问的是识别这些人“因为他们可能是”什么，隐含的风险指向是参与犯罪的可能性，而非提供线索的价值。正确项D更直接吻合教材对PEP关联人风险的定义。</w:t>
      </w:r>
    </w:p>
    <w:p>
      <w:pPr>
        <w:spacing w:before="120" w:after="40"/>
      </w:pPr>
      <w:r>
        <w:rPr>
          <w:b/>
          <w:sz w:val="21"/>
          <w:shd w:fill="D6E4F0" w:val="clear"/>
        </w:rPr>
        <w:t>C项错误</w:t>
      </w:r>
    </w:p>
    <w:p>
      <w:pPr>
        <w:spacing w:line="360" w:lineRule="auto" w:after="40"/>
        <w:ind w:firstLine="420"/>
      </w:pPr>
      <w:r>
        <w:t>教材确实在私人银行部分提及，来自腐败严重司法管辖区的客户风险更高</w:t>
      </w:r>
      <w:r>
        <w:rPr>
          <w:sz w:val="15"/>
          <w:vertAlign w:val="superscript"/>
        </w:rPr>
        <w:t>P73</w:t>
      </w:r>
      <w:r>
        <w:t>，在多个司法管辖区持有财富也可能涉及逃税</w:t>
      </w:r>
      <w:r>
        <w:rPr>
          <w:sz w:val="15"/>
          <w:vertAlign w:val="superscript"/>
        </w:rPr>
        <w:t>P71</w:t>
      </w:r>
      <w:r>
        <w:t>，但“前往离岸司法管辖区度假”属于宽泛的行为风险指标，并非PEP家庭成员/密切关系人的定义性风险。教材将这一人群的风险明确锁定在贿赂和腐败</w:t>
      </w:r>
      <w:r>
        <w:rPr>
          <w:sz w:val="15"/>
          <w:vertAlign w:val="superscript"/>
        </w:rPr>
        <w:t>P137</w:t>
      </w:r>
      <w:r>
        <w:t>，D选项直达该定义的核心，而C选项的行为模式与PEP关联人风险本质的匹配度较弱。</w:t>
      </w:r>
    </w:p>
    <w:p>
      <w:pPr>
        <w:spacing w:before="120" w:after="40"/>
      </w:pPr>
      <w:r>
        <w:rPr>
          <w:b/>
          <w:sz w:val="21"/>
          <w:shd w:fill="D6E4F0" w:val="clear"/>
        </w:rPr>
        <w:t>易错提醒</w:t>
      </w:r>
    </w:p>
    <w:p>
      <w:pPr>
        <w:spacing w:line="360" w:lineRule="auto" w:after="40"/>
        <w:ind w:firstLine="420"/>
      </w:pPr>
      <w:r>
        <w:t>区分“一般客户的风险行为指标”与“PEP关联人的定义性风险”。教材将PEP家庭成员/密切关系人的风险直接锁定在贿赂和腐败</w:t>
      </w:r>
      <w:r>
        <w:rPr>
          <w:sz w:val="15"/>
          <w:vertAlign w:val="superscript"/>
        </w:rPr>
        <w:t>P137</w:t>
      </w:r>
      <w:r>
        <w:t>，这是基于身份地位本身蕴含的风险，而不是基于事后观察到的交易或旅行行为。选项C（离岸度假）属于行为风险指标，需要结合更多因素才能推断洗钱嫌疑；而选项D（充当中间人协助贿赂/腐败/隐瞒非法财富）本身就是PEP定义所指向的风险，是识别这一人群的根本原因。题干问“因为他们可能是”，追问的是身份所隐含的危险角色，而非行为所引发的事后推断。</w:t>
      </w:r>
    </w:p>
    <w:p>
      <w:pPr>
        <w:spacing w:line="360" w:lineRule="auto" w:after="120"/>
      </w:pPr>
      <w:r/>
    </w:p>
    <w:p>
      <w:pPr>
        <w:spacing w:line="360" w:lineRule="auto" w:after="40"/>
      </w:pPr>
      <w:r>
        <w:t>6. 根据金融行动特别工作组(FATF)关于恐怖主义融资的报告,慈善机构和非营利组织往往容易受到恐怖主义融资的影响,原因在于:(选择两项.) ( )</w:t>
      </w:r>
    </w:p>
    <w:p>
      <w:pPr>
        <w:spacing w:line="360" w:lineRule="auto" w:after="20"/>
        <w:ind w:firstLine="283"/>
      </w:pPr>
      <w:r>
        <w:t>A. 从各种渠道募集捐款,其主要目标是慈善事业和社会福社</w:t>
      </w:r>
    </w:p>
    <w:p>
      <w:pPr>
        <w:spacing w:line="360" w:lineRule="auto" w:after="20"/>
        <w:ind w:firstLine="283"/>
      </w:pPr>
      <w:r>
        <w:t>B. 通常是合法机构,不会将通过捐赠筹集的资金用于个人或实体谋取私利</w:t>
      </w:r>
    </w:p>
    <w:p>
      <w:pPr>
        <w:spacing w:line="360" w:lineRule="auto" w:after="20"/>
        <w:ind w:firstLine="283"/>
      </w:pPr>
      <w:r>
        <w:t>C. 具备全球业务布局,为国家和国际运营以及金融交易提供框架,而这些运营和交易往往发生在或临近恐怖活动高发地区.</w:t>
      </w:r>
    </w:p>
    <w:p>
      <w:pPr>
        <w:spacing w:line="360" w:lineRule="auto" w:after="20"/>
        <w:ind w:firstLine="283"/>
      </w:pPr>
      <w:r>
        <w:t>D. 享有公众信任,能够获取大量资金来源,其活动往往资金密集</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慈善机构/NGO易被恐怖融资滥用的固有特征</w:t>
      </w:r>
      <w:r>
        <w:rPr>
          <w:sz w:val="15"/>
          <w:vertAlign w:val="superscript"/>
        </w:rPr>
        <w:t>P134</w:t>
      </w:r>
    </w:p>
    <w:p>
      <w:pPr>
        <w:spacing w:before="120" w:after="40"/>
      </w:pPr>
      <w:r>
        <w:rPr>
          <w:b/>
          <w:sz w:val="21"/>
          <w:shd w:fill="D6E4F0" w:val="clear"/>
        </w:rPr>
        <w:t>核心解析</w:t>
      </w:r>
    </w:p>
    <w:p>
      <w:pPr>
        <w:spacing w:line="360" w:lineRule="auto" w:after="40"/>
        <w:ind w:firstLine="420"/>
      </w:pPr>
      <w:r>
        <w:t>教材在P134列举了慈善机构和非政府组织（NGO）易被金融犯罪（包括恐怖融资）滥用的具体特征。这些特征是一个清单，题干问的是“根据FATF报告，原因在于”，实质是在考查这个清单中的内容。选项C和D分别精确对应了清单中的三个特征：选项C合并了“通常具有全球存在”（Often having a global presence, P134）和“通常位于或邻近恐怖活动暴露区域”（Often being in or near areas exposed to terrorist activity, P134），这为恐怖组织跨境转移资金、利用区域冲突环境提供了框架和便利。选项D合并了“享有公众信任”（Enjoying the public trust, P134）、“可从未知或未披露来源获取大量资金”（Having access to considerable funds from unknown or undisclosed sources, P134）和“现金密集型”（Being cash-intensive, P134），这意味着它们能接触大量不易追踪的资金，且因信任度高而不易被监管机构怀疑。题干所问的“容易受到恐怖主义融资影响的原因”，最直接的答案就是这些被教材明确列为脆弱性特征的因素。</w:t>
      </w:r>
    </w:p>
    <w:p>
      <w:pPr>
        <w:spacing w:before="120" w:after="40"/>
      </w:pPr>
      <w:r>
        <w:rPr>
          <w:b/>
          <w:sz w:val="21"/>
          <w:shd w:fill="D6E4F0" w:val="clear"/>
        </w:rPr>
        <w:t>A项错误</w:t>
      </w:r>
    </w:p>
    <w:p>
      <w:pPr>
        <w:spacing w:line="360" w:lineRule="auto" w:after="40"/>
        <w:ind w:firstLine="420"/>
      </w:pPr>
      <w:r>
        <w:t>本项描述的是慈善机构的客观状态（多渠道募集捐款）和合法目的（慈善事业与社会福祉）。题干问的是其易被恐怖融资“滥用”的原因，这属于组织的脆弱性特征；相比之下，教材P134所列的脆弱性特征（如C、D项所述）更直接地解释了为什么这些组织会被犯罪者盯上并利用，而本项的性质更偏向定义而非风险特征。</w:t>
      </w:r>
    </w:p>
    <w:p>
      <w:pPr>
        <w:spacing w:before="120" w:after="40"/>
      </w:pPr>
      <w:r>
        <w:rPr>
          <w:b/>
          <w:sz w:val="21"/>
          <w:shd w:fill="D6E4F0" w:val="clear"/>
        </w:rPr>
        <w:t>B项错误</w:t>
      </w:r>
    </w:p>
    <w:p>
      <w:pPr>
        <w:spacing w:line="360" w:lineRule="auto" w:after="40"/>
        <w:ind w:firstLine="420"/>
      </w:pPr>
      <w:r>
        <w:t>选项声称慈善机构“不会”将资金用于个人或实体谋取私利，这暗含了一种因其合法性高而不易被滥用的逻辑。但教材P135明确指出，尽管多数慈善机构合法，但恐怖组织确实会利用合法慈善机构作为资助其非法活动的工具。因此，本项描述的情况并不构成其易受影响的原因，反而与教材指出的被滥用事实方向相悖。题干更支持C和D这类机构固有运营特性作为成因，而非本项所暗示的廉洁性保障。</w:t>
      </w:r>
    </w:p>
    <w:p>
      <w:pPr>
        <w:spacing w:before="120" w:after="40"/>
      </w:pPr>
      <w:r>
        <w:rPr>
          <w:b/>
          <w:sz w:val="21"/>
          <w:shd w:fill="D6E4F0" w:val="clear"/>
        </w:rPr>
        <w:t>易错提醒</w:t>
      </w:r>
    </w:p>
    <w:p>
      <w:pPr>
        <w:spacing w:line="360" w:lineRule="auto" w:after="40"/>
        <w:ind w:firstLine="420"/>
      </w:pPr>
      <w:r>
        <w:t>注意区分慈善机构的“慈善目的”（选项A）和其“运营特征”（选项C、D）。题目问的是为何“易受恐怖主义融资影响”，答案是后者，即那些使其能够或更容易被犯罪分子滥用的组织特性和运营模式，而非其设立初衷或表面合规性。选项B更是将“声称不谋私利”的事实误解为不易受影响的理由，而实际上这种“合法外衣”恰恰可能被恐怖组织所利用。</w:t>
      </w:r>
    </w:p>
    <w:p>
      <w:pPr>
        <w:spacing w:line="360" w:lineRule="auto" w:after="120"/>
      </w:pPr>
      <w:r/>
    </w:p>
    <w:p>
      <w:pPr>
        <w:spacing w:line="360" w:lineRule="auto" w:after="40"/>
      </w:pPr>
      <w:r>
        <w:t>7. 以下哪些是与客户潜在可疑交易有关的危险信号？(选择三项.) ( )</w:t>
      </w:r>
    </w:p>
    <w:p>
      <w:pPr>
        <w:spacing w:line="360" w:lineRule="auto" w:after="20"/>
        <w:ind w:firstLine="283"/>
      </w:pPr>
      <w:r>
        <w:t>A. 一位客户存入了大量连续编号的汇票.</w:t>
      </w:r>
    </w:p>
    <w:p>
      <w:pPr>
        <w:spacing w:line="360" w:lineRule="auto" w:after="20"/>
        <w:ind w:firstLine="283"/>
      </w:pPr>
      <w:r>
        <w:t>B. 一位客户要求提供向当地公司发放的贷款或由当地银行的债务作担保的贷款.</w:t>
      </w:r>
    </w:p>
    <w:p>
      <w:pPr>
        <w:spacing w:line="360" w:lineRule="auto" w:after="20"/>
        <w:ind w:firstLine="283"/>
      </w:pPr>
      <w:r>
        <w:t>C. 一位客户主要通过电汇进行定期的存款和取款.</w:t>
      </w:r>
    </w:p>
    <w:p>
      <w:pPr>
        <w:spacing w:line="360" w:lineRule="auto" w:after="20"/>
        <w:ind w:firstLine="283"/>
      </w:pPr>
      <w:r>
        <w:t>D. 一名客户收到来自不同未知账户的电汇款项,这些款项随即又被电汇给第三方.</w:t>
      </w:r>
    </w:p>
    <w:p>
      <w:pPr>
        <w:spacing w:line="360" w:lineRule="auto" w:after="20"/>
        <w:ind w:firstLine="283"/>
      </w:pPr>
      <w:r>
        <w:t>E. 一位客户每次取款金额都略低于报告限额.</w:t>
      </w:r>
    </w:p>
    <w:p>
      <w:pPr>
        <w:spacing w:line="360" w:lineRule="auto" w:after="40"/>
      </w:pPr>
      <w:r>
        <w:t>答案:A、D、E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识别涉及不明来源资金、快速转移和结构化交易的可疑危险信号</w:t>
      </w:r>
    </w:p>
    <w:p>
      <w:pPr>
        <w:spacing w:before="120" w:after="40"/>
      </w:pPr>
      <w:r>
        <w:rPr>
          <w:b/>
          <w:sz w:val="21"/>
          <w:shd w:fill="D6E4F0" w:val="clear"/>
        </w:rPr>
        <w:t>核心解析</w:t>
      </w:r>
    </w:p>
    <w:p>
      <w:pPr>
        <w:spacing w:line="360" w:lineRule="auto" w:after="40"/>
        <w:ind w:firstLine="420"/>
      </w:pPr>
      <w:r>
        <w:t>洗钱的可疑交易危险信号包括涉及来源不明或可疑资金的交易</w:t>
      </w:r>
      <w:r>
        <w:rPr>
          <w:sz w:val="15"/>
          <w:vertAlign w:val="superscript"/>
        </w:rPr>
        <w:t>P128</w:t>
      </w:r>
      <w:r>
        <w:t>，以及故意将交易金额保持在报告限额以下的结构化（structuring）行为</w:t>
      </w:r>
      <w:r>
        <w:rPr>
          <w:sz w:val="15"/>
          <w:vertAlign w:val="superscript"/>
        </w:rPr>
        <w:t>P446</w:t>
      </w:r>
      <w:r>
        <w:t>。题干中，选项A“存入了大量连续编号的汇票”暗示资金可能来自同一可疑来源；选项D“收到来自不同未知账户的电汇款项，随即又被电汇给第三方”典型体现了来源不明资金的快速转移；选项E“每次取款金额都略低于报告限额”是经典的结构化拆分手法。三者均直接吻合教材定义的可疑交易特征。</w:t>
      </w:r>
    </w:p>
    <w:p>
      <w:pPr>
        <w:spacing w:before="120" w:after="40"/>
      </w:pPr>
      <w:r>
        <w:rPr>
          <w:b/>
          <w:sz w:val="21"/>
          <w:shd w:fill="D6E4F0" w:val="clear"/>
        </w:rPr>
        <w:t>教材原句</w:t>
      </w:r>
    </w:p>
    <w:p>
      <w:pPr>
        <w:spacing w:line="360" w:lineRule="auto" w:after="40"/>
        <w:ind w:firstLine="420"/>
      </w:pPr>
      <w:r>
        <w:t>"Transactions which involve funds from unknown or suspicious sources"</w:t>
      </w:r>
    </w:p>
    <w:p>
      <w:pPr>
        <w:spacing w:before="120" w:after="40"/>
      </w:pPr>
      <w:r>
        <w:rPr>
          <w:b/>
          <w:sz w:val="21"/>
          <w:shd w:fill="D6E4F0" w:val="clear"/>
        </w:rPr>
        <w:t>B项错误</w:t>
      </w:r>
    </w:p>
    <w:p>
      <w:pPr>
        <w:spacing w:line="360" w:lineRule="auto" w:after="40"/>
        <w:ind w:firstLine="420"/>
      </w:pPr>
      <w:r>
        <w:t>教材中贷款产品是常规银行业务</w:t>
      </w:r>
      <w:r>
        <w:rPr>
          <w:sz w:val="15"/>
          <w:vertAlign w:val="superscript"/>
        </w:rPr>
        <w:t>P67</w:t>
      </w:r>
      <w:r>
        <w:t>，其洗钱风险主要通过提前还贷等异常行为体现，题干仅描述普通贷款申请，未包含任何异常要素，因此匹配可疑交易的直接性远不如A、D、E。</w:t>
      </w:r>
    </w:p>
    <w:p>
      <w:pPr>
        <w:spacing w:before="120" w:after="40"/>
      </w:pPr>
      <w:r>
        <w:rPr>
          <w:b/>
          <w:sz w:val="21"/>
          <w:shd w:fill="D6E4F0" w:val="clear"/>
        </w:rPr>
        <w:t>C项错误</w:t>
      </w:r>
    </w:p>
    <w:p>
      <w:pPr>
        <w:spacing w:line="360" w:lineRule="auto" w:after="40"/>
        <w:ind w:firstLine="420"/>
      </w:pPr>
      <w:r>
        <w:t>电汇是常见的电子转账方式，虽具风险</w:t>
      </w:r>
      <w:r>
        <w:rPr>
          <w:sz w:val="15"/>
          <w:vertAlign w:val="superscript"/>
        </w:rPr>
        <w:t>P78</w:t>
      </w:r>
      <w:r>
        <w:t>，但定期存款和取款活动本身属于正常交易模式，题干未出现与高风险地区、异常频率或来源不明资金等关联要素，相比之下A、D、E更直接对应教材列举的可疑信号。</w:t>
      </w:r>
    </w:p>
    <w:p>
      <w:pPr>
        <w:spacing w:before="120" w:after="40"/>
      </w:pPr>
      <w:r>
        <w:rPr>
          <w:b/>
          <w:sz w:val="21"/>
          <w:shd w:fill="D6E4F0" w:val="clear"/>
        </w:rPr>
        <w:t>易错提醒</w:t>
      </w:r>
    </w:p>
    <w:p>
      <w:pPr>
        <w:spacing w:line="360" w:lineRule="auto" w:after="40"/>
        <w:ind w:firstLine="420"/>
      </w:pPr>
      <w:r>
        <w:t>贷款产品本身的申请不构成可疑信号，洗钱风险集中在提前还款、使用非法资金还款等异常行为</w:t>
      </w:r>
      <w:r>
        <w:rPr>
          <w:sz w:val="15"/>
          <w:vertAlign w:val="superscript"/>
        </w:rPr>
        <w:t>P67</w:t>
      </w:r>
      <w:r>
        <w:t>；电汇的日常使用不等于可疑，需结合来源、频率、交易对手等背景判断。</w:t>
      </w:r>
    </w:p>
    <w:p>
      <w:pPr>
        <w:spacing w:line="360" w:lineRule="auto" w:after="120"/>
      </w:pPr>
      <w:r/>
    </w:p>
    <w:p>
      <w:pPr>
        <w:spacing w:line="360" w:lineRule="auto" w:after="40"/>
      </w:pPr>
      <w:r>
        <w:t>8. [开展和回应调查]一家公司的财务部门员工听说公司内部正在调查可能存在的欺诈行为,于是辞职并消失了.如果在她辞职之前就已对其进行观察,哪些员工特征会被视为危险信号？(选择两项.) ( )</w:t>
      </w:r>
    </w:p>
    <w:p>
      <w:pPr>
        <w:spacing w:line="360" w:lineRule="auto" w:after="20"/>
        <w:ind w:firstLine="283"/>
      </w:pPr>
      <w:r>
        <w:t>A. 该员工最初来自高风险地区.</w:t>
      </w:r>
    </w:p>
    <w:p>
      <w:pPr>
        <w:spacing w:line="360" w:lineRule="auto" w:after="20"/>
        <w:ind w:firstLine="283"/>
      </w:pPr>
      <w:r>
        <w:t>B. 这名员工有在高风险行业工作的朋友</w:t>
      </w:r>
    </w:p>
    <w:p>
      <w:pPr>
        <w:spacing w:line="360" w:lineRule="auto" w:after="20"/>
        <w:ind w:firstLine="283"/>
      </w:pPr>
      <w:r>
        <w:t>C. 这名员工的生活方式与其收入极不相称.</w:t>
      </w:r>
    </w:p>
    <w:p>
      <w:pPr>
        <w:spacing w:line="360" w:lineRule="auto" w:after="20"/>
        <w:ind w:firstLine="283"/>
      </w:pPr>
      <w:r>
        <w:t>D. 这位员工对于离职前一份企业财务工作的原因一直闪烁其词.</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识别与收入不符的生活方式和回避敏感信息的行为危险信号</w:t>
      </w:r>
    </w:p>
    <w:p>
      <w:pPr>
        <w:spacing w:before="120" w:after="40"/>
      </w:pPr>
      <w:r>
        <w:rPr>
          <w:b/>
          <w:sz w:val="21"/>
          <w:shd w:fill="D6E4F0" w:val="clear"/>
        </w:rPr>
        <w:t>核心解析</w:t>
      </w:r>
    </w:p>
    <w:p>
      <w:pPr>
        <w:spacing w:line="360" w:lineRule="auto" w:after="40"/>
        <w:ind w:firstLine="420"/>
      </w:pPr>
      <w:r>
        <w:t>教材在Ong企业洗钱案例中展示了这样一个危险信号：月薪约2,500美元的企业经理却有能力购买高价值珠宝，这种“生活方式与收入极不相称”的情况被视为可疑</w:t>
      </w:r>
      <w:r>
        <w:rPr>
          <w:sz w:val="15"/>
          <w:vertAlign w:val="superscript"/>
        </w:rPr>
        <w:t>P130</w:t>
      </w:r>
      <w:r>
        <w:t>。本题中，财务部门员工的生活方式与其收入极不相称，直接吻合这一危险信号所揭示的逻辑——即个人消费或生活水准无法由合法收入合理解释，可能暗示存在其他不当资金来源。另一方面，教材在讨论员工与客户沟通时指出，如果客户不合作（uncooperative），可能引发怀疑，许多违规行为本可通过及早怀疑而预防</w:t>
      </w:r>
      <w:r>
        <w:rPr>
          <w:sz w:val="15"/>
          <w:vertAlign w:val="superscript"/>
        </w:rPr>
        <w:t>P341</w:t>
      </w:r>
      <w:r>
        <w:t>。虽然这段原文的适用场景是员工与客户之间的互动，但“不合作、闪烁其词”作为一种广义的行为危险信号，可以延伸至内部调查场景：该财务员工对离职前一份企业财务工作的原因始终闪烁其词，正是一种刻意回避敏感信息的不合作表现。综合来看，选项C直接命中个人财务行为异常，选项D直接命中沟通行为异常，两者组合构成对内部欺诈嫌疑人的完整行为画像。</w:t>
      </w:r>
    </w:p>
    <w:p>
      <w:pPr>
        <w:spacing w:before="120" w:after="40"/>
      </w:pPr>
      <w:r>
        <w:rPr>
          <w:b/>
          <w:sz w:val="21"/>
          <w:shd w:fill="D6E4F0" w:val="clear"/>
        </w:rPr>
        <w:t>教材原句</w:t>
      </w:r>
    </w:p>
    <w:p>
      <w:pPr>
        <w:spacing w:line="360" w:lineRule="auto" w:after="40"/>
        <w:ind w:firstLine="420"/>
      </w:pPr>
      <w:r>
        <w:t>"These managers reportedly earn monthly salaries of around US$2,500, making their ability to purchase high-value items suspicious."</w:t>
      </w:r>
    </w:p>
    <w:p>
      <w:pPr>
        <w:spacing w:before="120" w:after="40"/>
      </w:pPr>
      <w:r>
        <w:rPr>
          <w:b/>
          <w:sz w:val="21"/>
          <w:shd w:fill="D6E4F0" w:val="clear"/>
        </w:rPr>
        <w:t>A项错误</w:t>
      </w:r>
    </w:p>
    <w:p>
      <w:pPr>
        <w:spacing w:line="360" w:lineRule="auto" w:after="40"/>
        <w:ind w:firstLine="420"/>
      </w:pPr>
      <w:r>
        <w:t>教材在房地产章节中提及，来自高风险或未合作司法管辖区的买家构成额外洗钱风险</w:t>
      </w:r>
      <w:r>
        <w:rPr>
          <w:sz w:val="15"/>
          <w:vertAlign w:val="superscript"/>
        </w:rPr>
        <w:t>P122</w:t>
      </w:r>
      <w:r>
        <w:t>，但这一定义依赖“买家+购买行为”这一特定场景。题干描述的是一位正在接受内部调查后辞职消失的财务员工，仅凭其原籍地为高风险地区就视为危险信号，不如选项C和D所指向的个人行为异常（生活方式与收入失配、回避敏感信息）更直接吻合内部欺诈场景。</w:t>
      </w:r>
    </w:p>
    <w:p>
      <w:pPr>
        <w:spacing w:before="120" w:after="40"/>
      </w:pPr>
      <w:r>
        <w:rPr>
          <w:b/>
          <w:sz w:val="21"/>
          <w:shd w:fill="D6E4F0" w:val="clear"/>
        </w:rPr>
        <w:t>B项错误</w:t>
      </w:r>
    </w:p>
    <w:p>
      <w:pPr>
        <w:spacing w:line="360" w:lineRule="auto" w:after="40"/>
        <w:ind w:firstLine="420"/>
      </w:pPr>
      <w:r>
        <w:t>教材在讨论高风险客户分类时指出，从事现金密集型或高风险行业（如货币服务、加密货币交易所、赌博、军火交易和奢侈品）属于行业风险因素</w:t>
      </w:r>
      <w:r>
        <w:rPr>
          <w:sz w:val="15"/>
          <w:vertAlign w:val="superscript"/>
        </w:rPr>
        <w:t>P312</w:t>
      </w:r>
      <w:r>
        <w:t>。但此处题干问的是该员工自身的危险信号，而非她朋友的职业风险属性。拥有在高风险行业工作的朋友，其相关性与直接程度远不如该员工本人的生活方式失配和回避行为来得强。</w:t>
      </w:r>
    </w:p>
    <w:p>
      <w:pPr>
        <w:spacing w:before="120" w:after="40"/>
      </w:pPr>
      <w:r>
        <w:rPr>
          <w:b/>
          <w:sz w:val="21"/>
          <w:shd w:fill="D6E4F0" w:val="clear"/>
        </w:rPr>
        <w:t>易错提醒</w:t>
      </w:r>
    </w:p>
    <w:p>
      <w:pPr>
        <w:spacing w:line="360" w:lineRule="auto" w:after="40"/>
        <w:ind w:firstLine="420"/>
      </w:pPr>
      <w:r>
        <w:t>在区分危险信号时，关键在于该信号是否指向被调查者本人的可疑行为或属性，而非其周围环境或关联人的标签。“原籍地”和“朋友行业”属于间接关联因素，而“个人消费远超收入”和“回避关键问题”属于直接的个人行为异常。教材语境下，直接的行为异常通常比间接的关联属性优先作为危险信号。</w:t>
      </w:r>
    </w:p>
    <w:p>
      <w:pPr>
        <w:spacing w:line="360" w:lineRule="auto" w:after="120"/>
      </w:pPr>
      <w:r/>
    </w:p>
    <w:p>
      <w:pPr>
        <w:spacing w:line="360" w:lineRule="auto" w:after="40"/>
      </w:pPr>
      <w:r>
        <w:t>9. [洗钱和恐怖融资的风险及方法]一位居住在被列入欧盟高风险第三国名单的A国的富人代理人,找到欧盟成员国B国的一位公证人.该代理人希望尽快完成其委托人通过一家离岸公司近期在拍卖会上购得的资产的处置.代理人还持有由欧盟成员国C国一家知名律师事务所出具的授权委托书,授权其代表离岸公司行事.代理人要求公证人尽快办理,无需特别关注由此交易产生的相关费用或税款.公证人注意到拟议的转让价格远低于拍卖会上的成交价,但代理人不愿讨论此事,并声称这不在授权委托书的授权范围内.公证员应考虑哪些危险信号？(选择两项) ( )</w:t>
      </w:r>
    </w:p>
    <w:p>
      <w:pPr>
        <w:spacing w:line="360" w:lineRule="auto" w:after="20"/>
        <w:ind w:firstLine="283"/>
      </w:pPr>
      <w:r>
        <w:t>A. 该代理人要求以低于近期收购价的价格处置资产.</w:t>
      </w:r>
    </w:p>
    <w:p>
      <w:pPr>
        <w:spacing w:line="360" w:lineRule="auto" w:after="20"/>
        <w:ind w:firstLine="283"/>
      </w:pPr>
      <w:r>
        <w:t>B. 通过拍卖获得的资产被登记在一家离岸公司的名下</w:t>
      </w:r>
    </w:p>
    <w:p>
      <w:pPr>
        <w:spacing w:line="360" w:lineRule="auto" w:after="20"/>
        <w:ind w:firstLine="283"/>
      </w:pPr>
      <w:r>
        <w:t>C. 该代理人代表一名居住在欧盟高风险司法管辖区的人士行事</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按资产价值异常与客户管辖风险识别红旗信号</w:t>
      </w:r>
    </w:p>
    <w:p>
      <w:pPr>
        <w:spacing w:before="120" w:after="40"/>
      </w:pPr>
      <w:r>
        <w:rPr>
          <w:b/>
          <w:sz w:val="21"/>
          <w:shd w:fill="D6E4F0" w:val="clear"/>
        </w:rPr>
        <w:t>核心解析</w:t>
      </w:r>
    </w:p>
    <w:p>
      <w:pPr>
        <w:spacing w:line="360" w:lineRule="auto" w:after="40"/>
        <w:ind w:firstLine="420"/>
      </w:pPr>
      <w:r>
        <w:t>教材指出犯罪分子会抬高或压低资产价值以操纵交易、掩盖资金真实性质</w:t>
      </w:r>
      <w:r>
        <w:rPr>
          <w:sz w:val="15"/>
          <w:vertAlign w:val="superscript"/>
        </w:rPr>
        <w:t>P129</w:t>
      </w:r>
      <w:r>
        <w:t>；来自欧盟高风险第三国名单的客户构成额外的洗钱风险</w:t>
      </w:r>
      <w:r>
        <w:rPr>
          <w:sz w:val="15"/>
          <w:vertAlign w:val="superscript"/>
        </w:rPr>
        <w:t>P307、P122</w:t>
      </w:r>
      <w:r>
        <w:t>。题干中代理人要求的转让价格明显低于拍卖成交价，且不愿解释差额，直接符合故意压低资产价值的风险指标；同时委托人居住地被列入欧盟高风险第三国名单，触发管辖风险信号。这两项在教材框架下是明确、直接的红旗信号。</w:t>
      </w:r>
    </w:p>
    <w:p>
      <w:pPr>
        <w:spacing w:before="120" w:after="40"/>
      </w:pPr>
      <w:r>
        <w:rPr>
          <w:b/>
          <w:sz w:val="21"/>
          <w:shd w:fill="D6E4F0" w:val="clear"/>
        </w:rPr>
        <w:t>教材原句</w:t>
      </w:r>
    </w:p>
    <w:p>
      <w:pPr>
        <w:spacing w:line="360" w:lineRule="auto" w:after="40"/>
        <w:ind w:firstLine="420"/>
      </w:pPr>
      <w:r>
        <w:t>"Criminals inflate or deflate the asset’s value to manipulate financial transactions and obscure the true nature of the funds involved."</w:t>
      </w:r>
    </w:p>
    <w:p>
      <w:pPr>
        <w:spacing w:before="120" w:after="40"/>
      </w:pPr>
      <w:r>
        <w:rPr>
          <w:b/>
          <w:sz w:val="21"/>
          <w:shd w:fill="D6E4F0" w:val="clear"/>
        </w:rPr>
        <w:t>B项错误</w:t>
      </w:r>
    </w:p>
    <w:p>
      <w:pPr>
        <w:spacing w:line="360" w:lineRule="auto" w:after="40"/>
        <w:ind w:firstLine="420"/>
      </w:pPr>
      <w:r>
        <w:t>教材列举的风险信号是由公司、信托或代名人持有房产且“无合理解释”</w:t>
      </w:r>
      <w:r>
        <w:rPr>
          <w:sz w:val="15"/>
          <w:vertAlign w:val="superscript"/>
        </w:rPr>
        <w:t>P121</w:t>
      </w:r>
      <w:r>
        <w:t>。题干中代理人持有欧盟知名律师事务所出具的授权委托书，这一安排本身就提供了一定程度的业务合理性说明，不像选项A的低价转让和选项C的高风险管辖地那样直接对应明确的危险信号。因此，在题干现有条件下，离岸公司持股这一情形的风险匹配度不如正确项。</w:t>
      </w:r>
    </w:p>
    <w:p>
      <w:pPr>
        <w:spacing w:line="360" w:lineRule="auto" w:after="120"/>
      </w:pPr>
      <w:r/>
    </w:p>
    <w:p>
      <w:pPr>
        <w:spacing w:line="360" w:lineRule="auto" w:after="40"/>
      </w:pPr>
      <w:r>
        <w:t>10. [洗钱和恐怖融资的风险及方法]在恐怖主义融资的背景下,以下哪两项可能是非营利组织(NPO)被滥用的潜在迹象？(选择两项.) ( )</w:t>
      </w:r>
    </w:p>
    <w:p>
      <w:pPr>
        <w:spacing w:line="360" w:lineRule="auto" w:after="20"/>
        <w:ind w:firstLine="283"/>
      </w:pPr>
      <w:r>
        <w:t>A. 参与社区发展和人道主义援助项目</w:t>
      </w:r>
    </w:p>
    <w:p>
      <w:pPr>
        <w:spacing w:line="360" w:lineRule="auto" w:after="20"/>
        <w:ind w:firstLine="283"/>
      </w:pPr>
      <w:r>
        <w:t>B. 来自匿名来源的大额且无法说明来源的现金捐赠</w:t>
      </w:r>
    </w:p>
    <w:p>
      <w:pPr>
        <w:spacing w:line="360" w:lineRule="auto" w:after="20"/>
        <w:ind w:firstLine="283"/>
      </w:pPr>
      <w:r>
        <w:t>C. 在监管有限的高风险司法管辖区开展业务</w:t>
      </w:r>
    </w:p>
    <w:p>
      <w:pPr>
        <w:spacing w:line="360" w:lineRule="auto" w:after="20"/>
        <w:ind w:firstLine="283"/>
      </w:pPr>
      <w:r>
        <w:t>D. 领导层和使命宣言频繁变化</w:t>
      </w:r>
    </w:p>
    <w:p>
      <w:pPr>
        <w:spacing w:line="360" w:lineRule="auto" w:after="20"/>
        <w:ind w:firstLine="283"/>
      </w:pPr>
      <w:r>
        <w:t>E. 财务报告和治理实践高度透明</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辨识非营利组织被恐怖融资滥用的风险指标</w:t>
      </w:r>
    </w:p>
    <w:p>
      <w:pPr>
        <w:spacing w:before="120" w:after="40"/>
      </w:pPr>
      <w:r>
        <w:rPr>
          <w:b/>
          <w:sz w:val="21"/>
          <w:shd w:fill="D6E4F0" w:val="clear"/>
        </w:rPr>
        <w:t>核心解析</w:t>
      </w:r>
    </w:p>
    <w:p>
      <w:pPr>
        <w:spacing w:line="360" w:lineRule="auto" w:after="40"/>
        <w:ind w:firstLine="420"/>
      </w:pPr>
      <w:r>
        <w:t>慈善机构和非政府组织因跨境运营、现金密集、享有公众信任等特点，容易被金融犯罪滥用</w:t>
      </w:r>
      <w:r>
        <w:rPr>
          <w:sz w:val="15"/>
          <w:vertAlign w:val="superscript"/>
        </w:rPr>
        <w:t>P134</w:t>
      </w:r>
      <w:r>
        <w:t>。具体特征包括“可从未知或未披露来源获取大量资金”</w:t>
      </w:r>
      <w:r>
        <w:rPr>
          <w:sz w:val="15"/>
          <w:vertAlign w:val="superscript"/>
        </w:rPr>
        <w:t>P134</w:t>
      </w:r>
      <w:r>
        <w:t>，以及因某些司法管辖区监管宽松而被利用转移非法资金</w:t>
      </w:r>
      <w:r>
        <w:rPr>
          <w:sz w:val="15"/>
          <w:vertAlign w:val="superscript"/>
        </w:rPr>
        <w:t>P82</w:t>
      </w:r>
      <w:r>
        <w:t>。选项B“来自匿名来源的大额且无法说明来源的现金捐赠”直接对应资金来自未披露来源这一特征；选项C“在监管有限的高风险司法管辖区开展业务”则吻合监管宽松、跨境运营可被不当利用的描述。二者均属教材明确列出的潜在滥用迹象。</w:t>
      </w:r>
    </w:p>
    <w:p>
      <w:pPr>
        <w:spacing w:before="120" w:after="40"/>
      </w:pPr>
      <w:r>
        <w:rPr>
          <w:b/>
          <w:sz w:val="21"/>
          <w:shd w:fill="D6E4F0" w:val="clear"/>
        </w:rPr>
        <w:t>教材原句</w:t>
      </w:r>
    </w:p>
    <w:p>
      <w:pPr>
        <w:spacing w:line="360" w:lineRule="auto" w:after="40"/>
        <w:ind w:firstLine="420"/>
      </w:pPr>
      <w:r>
        <w:t>"Having access to considerable funds from unknown or undisclosed sources"</w:t>
      </w:r>
    </w:p>
    <w:p>
      <w:pPr>
        <w:spacing w:before="120" w:after="40"/>
      </w:pPr>
      <w:r>
        <w:rPr>
          <w:b/>
          <w:sz w:val="21"/>
          <w:shd w:fill="D6E4F0" w:val="clear"/>
        </w:rPr>
        <w:t>A项错误</w:t>
      </w:r>
    </w:p>
    <w:p>
      <w:pPr>
        <w:spacing w:line="360" w:lineRule="auto" w:after="40"/>
        <w:ind w:firstLine="420"/>
      </w:pPr>
      <w:r>
        <w:t>教材指出“慈善机构和非政府组织提供多种服务和人道主义职能。”。题干中的条件与“参与社区发展和人道主义援助项目”不一致。</w:t>
      </w:r>
    </w:p>
    <w:p>
      <w:pPr>
        <w:spacing w:before="120" w:after="40"/>
      </w:pPr>
      <w:r>
        <w:rPr>
          <w:b/>
          <w:sz w:val="21"/>
          <w:shd w:fill="D6E4F0" w:val="clear"/>
        </w:rPr>
        <w:t>D项错误</w:t>
      </w:r>
    </w:p>
    <w:p>
      <w:pPr>
        <w:spacing w:line="360" w:lineRule="auto" w:after="40"/>
        <w:ind w:firstLine="420"/>
      </w:pPr>
      <w:r>
        <w:t>领导层和使命宣言频繁变化暗示组织不稳定或缺乏长期方向，但教材并未将其纳入非营利组织滥用指标。相比之下，正确项B和C直接对应教材列举的“未知来源资金”与“高风险司法管辖区监管有限”等特征，匹配度更直接。</w:t>
      </w:r>
    </w:p>
    <w:p>
      <w:pPr>
        <w:spacing w:before="120" w:after="40"/>
      </w:pPr>
      <w:r>
        <w:rPr>
          <w:b/>
          <w:sz w:val="21"/>
          <w:shd w:fill="D6E4F0" w:val="clear"/>
        </w:rPr>
        <w:t>E项错误</w:t>
      </w:r>
    </w:p>
    <w:p>
      <w:pPr>
        <w:spacing w:line="360" w:lineRule="auto" w:after="40"/>
        <w:ind w:firstLine="420"/>
      </w:pPr>
      <w:r>
        <w:t>高度透明的财务报告和治理实践是良好治理的体现，教材强调结构化、透明的内部报告有助于改善治理问责和风险缓解</w:t>
      </w:r>
      <w:r>
        <w:rPr>
          <w:sz w:val="15"/>
          <w:vertAlign w:val="superscript"/>
        </w:rPr>
        <w:t>P297</w:t>
      </w:r>
      <w:r>
        <w:t>，这与恐怖融资滥用非营利组织时通常伴随的不透明正好相反，因此其作为滥用迹象的匹配度远低于B、C。</w:t>
      </w:r>
    </w:p>
    <w:p>
      <w:pPr>
        <w:spacing w:line="360" w:lineRule="auto" w:after="120"/>
      </w:pPr>
      <w:r/>
    </w:p>
    <w:p>
      <w:pPr>
        <w:spacing w:line="360" w:lineRule="auto" w:after="40"/>
      </w:pPr>
      <w:r>
        <w:t>11. 哪些危险信号可能表明与文化物品相关的恐怖主义融资和洗钱风险增加？（选择三项。） ( )</w:t>
      </w:r>
    </w:p>
    <w:p>
      <w:pPr>
        <w:spacing w:line="360" w:lineRule="auto" w:after="20"/>
        <w:ind w:firstLine="283"/>
      </w:pPr>
      <w:r>
        <w:t>A. 聘请第三方艺术顾问作为艺术品拍卖会的代表。</w:t>
      </w:r>
    </w:p>
    <w:p>
      <w:pPr>
        <w:spacing w:line="360" w:lineRule="auto" w:after="20"/>
        <w:ind w:firstLine="283"/>
      </w:pPr>
      <w:r>
        <w:t>B. 在社交媒体平台上出售的具有重要价值的高品质单件商品。</w:t>
      </w:r>
    </w:p>
    <w:p>
      <w:pPr>
        <w:spacing w:line="360" w:lineRule="auto" w:after="20"/>
        <w:ind w:firstLine="283"/>
      </w:pPr>
      <w:r>
        <w:t>C. 利用艺术品和古董专家来鉴定物品的真伪。</w:t>
      </w:r>
    </w:p>
    <w:p>
      <w:pPr>
        <w:spacing w:line="360" w:lineRule="auto" w:after="20"/>
        <w:ind w:firstLine="283"/>
      </w:pPr>
      <w:r>
        <w:t>D. 在拍卖会上以公平的市场价格或溢价购买有价值的艺术品、宝石或贵金属。</w:t>
      </w:r>
    </w:p>
    <w:p>
      <w:pPr>
        <w:spacing w:line="360" w:lineRule="auto" w:after="20"/>
        <w:ind w:firstLine="283"/>
      </w:pPr>
      <w:r>
        <w:t>E. 使用位于免税区的艺术品存储设施。</w:t>
      </w:r>
    </w:p>
    <w:p>
      <w:pPr>
        <w:spacing w:line="360" w:lineRule="auto" w:after="40"/>
      </w:pPr>
      <w:r>
        <w:t>答案:A、B、E</w:t>
      </w:r>
    </w:p>
    <w:p>
      <w:pPr>
        <w:spacing w:line="360" w:lineRule="auto" w:after="40"/>
      </w:pPr>
      <w:r>
        <w:t>解析：</w:t>
      </w:r>
    </w:p>
    <w:p>
      <w:pPr>
        <w:spacing w:before="120" w:after="40"/>
      </w:pPr>
      <w:r>
        <w:rPr>
          <w:b/>
          <w:sz w:val="21"/>
          <w:shd w:fill="D6E4F0" w:val="clear"/>
        </w:rPr>
        <w:t>考点</w:t>
      </w:r>
    </w:p>
    <w:p>
      <w:pPr>
        <w:spacing w:line="360" w:lineRule="auto" w:after="40"/>
        <w:ind w:firstLine="420"/>
      </w:pPr>
      <w:r>
        <w:t>辨识与文化物品相关的匿名性、非正规渠道及监管薄弱区三大洗钱风险信号</w:t>
      </w:r>
    </w:p>
    <w:p>
      <w:pPr>
        <w:spacing w:before="120" w:after="40"/>
      </w:pPr>
      <w:r>
        <w:rPr>
          <w:b/>
          <w:sz w:val="21"/>
          <w:shd w:fill="D6E4F0" w:val="clear"/>
        </w:rPr>
        <w:t>核心解析</w:t>
      </w:r>
    </w:p>
    <w:p>
      <w:pPr>
        <w:spacing w:line="360" w:lineRule="auto" w:after="40"/>
        <w:ind w:firstLine="420"/>
      </w:pPr>
      <w:r>
        <w:t>与文化物品相关的洗钱及恐怖融资风险，核心在于利用此类资产价值高、易转移、所有权可隐匿的特性。教材指出，高价商品（如艺术品）常用于匿名转移价值</w:t>
      </w:r>
      <w:r>
        <w:rPr>
          <w:sz w:val="15"/>
          <w:vertAlign w:val="superscript"/>
        </w:rPr>
        <w:t>P18</w:t>
      </w:r>
      <w:r>
        <w:t>，其销售若难以估值则构成危险信号</w:t>
      </w:r>
      <w:r>
        <w:rPr>
          <w:sz w:val="15"/>
          <w:vertAlign w:val="superscript"/>
        </w:rPr>
        <w:t>P99</w:t>
      </w:r>
      <w:r>
        <w:t>。本题中，A项“聘请第三方艺术顾问代表”对应利用第三方名义服务隐藏真实所有人身份的风险</w:t>
      </w:r>
      <w:r>
        <w:rPr>
          <w:sz w:val="15"/>
          <w:vertAlign w:val="superscript"/>
        </w:rPr>
        <w:t>P127</w:t>
      </w:r>
      <w:r>
        <w:t>，使交易脱离本人名义、增加匿名性。B项“在社交媒体出售高价值单品”吻合电子商务中“难以估值商品销售”的风险指标</w:t>
      </w:r>
      <w:r>
        <w:rPr>
          <w:sz w:val="15"/>
          <w:vertAlign w:val="superscript"/>
        </w:rPr>
        <w:t>P99</w:t>
      </w:r>
      <w:r>
        <w:t>，非正规渠道加大追踪难度。E项“使用免税区存储设施”直接命中自由贸易区为艺术品走私提供平台这一风险指标</w:t>
      </w:r>
      <w:r>
        <w:rPr>
          <w:sz w:val="15"/>
          <w:vertAlign w:val="superscript"/>
        </w:rPr>
        <w:t>P133</w:t>
      </w:r>
      <w:r>
        <w:t>，监管薄弱便于隐匿资产。三者从不同环节（代理、销售、存储）揭示了文化物品被用于洗钱或恐怖融资的典型危险信号。</w:t>
      </w:r>
    </w:p>
    <w:p>
      <w:pPr>
        <w:spacing w:before="120" w:after="40"/>
      </w:pPr>
      <w:r>
        <w:rPr>
          <w:b/>
          <w:sz w:val="21"/>
          <w:shd w:fill="D6E4F0" w:val="clear"/>
        </w:rPr>
        <w:t>C项错误</w:t>
      </w:r>
    </w:p>
    <w:p>
      <w:pPr>
        <w:spacing w:line="360" w:lineRule="auto" w:after="40"/>
        <w:ind w:firstLine="420"/>
      </w:pPr>
      <w:r>
        <w:t>题干问的是“风险增加”的危险信号。利用专家鉴定真伪，本身是正常的谨慎交易行为，属于降低风险的尽职调查措施。在教材框架下，它缺乏作为风险信号的依据，不如A、B、E项那样直接对应教材中利用匿名代理、非正规渠道或监管漏洞的风险特征。</w:t>
      </w:r>
    </w:p>
    <w:p>
      <w:pPr>
        <w:spacing w:before="120" w:after="40"/>
      </w:pPr>
      <w:r>
        <w:rPr>
          <w:b/>
          <w:sz w:val="21"/>
          <w:shd w:fill="D6E4F0" w:val="clear"/>
        </w:rPr>
        <w:t>D项错误</w:t>
      </w:r>
    </w:p>
    <w:p>
      <w:pPr>
        <w:spacing w:line="360" w:lineRule="auto" w:after="40"/>
        <w:ind w:firstLine="420"/>
      </w:pPr>
      <w:r>
        <w:t>教材将“高价值资产估值不一致，定价偏离市场价值”</w:t>
      </w:r>
      <w:r>
        <w:rPr>
          <w:sz w:val="15"/>
          <w:vertAlign w:val="superscript"/>
        </w:rPr>
        <w:t>P129</w:t>
      </w:r>
      <w:r>
        <w:t>列为风险指标，强调异常定价的可疑性。D项描述的是支付“公平市场价格或溢价”，这更接近正常市场交易特征。在教材语境下，公平价格交易作为洗钱信号的匹配度远低于匿名代理（A）、非正规渠道（B）或利用监管薄弱的免税区（E）。</w:t>
      </w:r>
    </w:p>
    <w:p>
      <w:pPr>
        <w:spacing w:before="120" w:after="40"/>
      </w:pPr>
      <w:r>
        <w:rPr>
          <w:b/>
          <w:sz w:val="21"/>
          <w:shd w:fill="D6E4F0" w:val="clear"/>
        </w:rPr>
        <w:t>易错提醒</w:t>
      </w:r>
    </w:p>
    <w:p>
      <w:pPr>
        <w:spacing w:line="360" w:lineRule="auto" w:after="40"/>
        <w:ind w:firstLine="420"/>
      </w:pPr>
      <w:r>
        <w:t>“溢价购买”（premium prices）容易被误解为定价偏离市场价值。但教材定义的风险指标是“资产估值不一致，定价高于或低于市场价值”</w:t>
      </w:r>
      <w:r>
        <w:rPr>
          <w:sz w:val="15"/>
          <w:vertAlign w:val="superscript"/>
        </w:rPr>
        <w:t>P129</w:t>
      </w:r>
      <w:r>
        <w:t>，强调的是脱离市场基准的异常。溢价购买在拍卖中可能是正常商业行为，其本身不构成危险信号，除非该溢价与公平市场价值严重不符。</w:t>
      </w:r>
    </w:p>
    <w:p>
      <w:pPr>
        <w:spacing w:line="360" w:lineRule="auto" w:after="120"/>
      </w:pPr>
      <w:r/>
    </w:p>
    <w:p>
      <w:pPr>
        <w:spacing w:line="360" w:lineRule="auto" w:after="40"/>
      </w:pPr>
      <w:r>
        <w:t>12. 在虚拟货币点对点交易中，哪些客户行为是危险信号？(选择两项。) ( )</w:t>
      </w:r>
    </w:p>
    <w:p>
      <w:pPr>
        <w:spacing w:line="360" w:lineRule="auto" w:after="20"/>
        <w:ind w:firstLine="283"/>
      </w:pPr>
      <w:r>
        <w:t>A. 一位客户从一个流行的去中心化混币器那里收到了资金</w:t>
      </w:r>
    </w:p>
    <w:p>
      <w:pPr>
        <w:spacing w:line="360" w:lineRule="auto" w:after="20"/>
        <w:ind w:firstLine="283"/>
      </w:pPr>
      <w:r>
        <w:t>B. 一位顾客用其每月收入中的资金购买虚拟货币</w:t>
      </w:r>
    </w:p>
    <w:p>
      <w:pPr>
        <w:spacing w:line="360" w:lineRule="auto" w:after="20"/>
        <w:ind w:firstLine="283"/>
      </w:pPr>
      <w:r>
        <w:t>C. 一位客户在区块链上进行了一笔交易，而其传统金融机构对此并不知情</w:t>
      </w:r>
    </w:p>
    <w:p>
      <w:pPr>
        <w:spacing w:line="360" w:lineRule="auto" w:after="20"/>
        <w:ind w:firstLine="283"/>
      </w:pPr>
      <w:r>
        <w:t>D. 一位客户从不明来源收到资金，并立即用这些资金购买虚拟货币</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识别虚拟货币P2P交易中混币器与不明资金来源的红旗信号</w:t>
      </w:r>
    </w:p>
    <w:p>
      <w:pPr>
        <w:spacing w:before="120" w:after="40"/>
      </w:pPr>
      <w:r>
        <w:rPr>
          <w:b/>
          <w:sz w:val="21"/>
          <w:shd w:fill="D6E4F0" w:val="clear"/>
        </w:rPr>
        <w:t>核心解析</w:t>
      </w:r>
    </w:p>
    <w:p>
      <w:pPr>
        <w:spacing w:line="360" w:lineRule="auto" w:after="40"/>
        <w:ind w:firstLine="420"/>
      </w:pPr>
      <w:r>
        <w:t>加密资产服务提供商应将与混合器相关的交易视为高风险，并采取适当尽职调查措施</w:t>
      </w:r>
      <w:r>
        <w:rPr>
          <w:sz w:val="15"/>
          <w:vertAlign w:val="superscript"/>
        </w:rPr>
        <w:t>P115</w:t>
      </w:r>
      <w:r>
        <w:t>；涉及来源不明或可疑资金的交易是洗钱红旗信号</w:t>
      </w:r>
      <w:r>
        <w:rPr>
          <w:sz w:val="15"/>
          <w:vertAlign w:val="superscript"/>
        </w:rPr>
        <w:t>P128</w:t>
      </w:r>
      <w:r>
        <w:t>。选项A中客户从去中心化混币器接收资金，直接命中教材明确要求视作高风险的混币器交易；选项D中客户从不同来源收到多笔电汇后立即购买虚拟货币，资金来自不同源头且缺乏合理解释，符合“来源不明或可疑资金”这一红旗特征，因此两者均为危险信号。</w:t>
      </w:r>
    </w:p>
    <w:p>
      <w:pPr>
        <w:spacing w:before="120" w:after="40"/>
      </w:pPr>
      <w:r>
        <w:rPr>
          <w:b/>
          <w:sz w:val="21"/>
          <w:shd w:fill="D6E4F0" w:val="clear"/>
        </w:rPr>
        <w:t>教材原句</w:t>
      </w:r>
    </w:p>
    <w:p>
      <w:pPr>
        <w:spacing w:line="360" w:lineRule="auto" w:after="40"/>
        <w:ind w:firstLine="420"/>
      </w:pPr>
      <w:r>
        <w:t>"Transactions which involve funds from unknown or suspicious sources"</w:t>
      </w:r>
    </w:p>
    <w:p>
      <w:pPr>
        <w:spacing w:before="120" w:after="40"/>
      </w:pPr>
      <w:r>
        <w:rPr>
          <w:b/>
          <w:sz w:val="21"/>
          <w:shd w:fill="D6E4F0" w:val="clear"/>
        </w:rPr>
        <w:t>B项错误</w:t>
      </w:r>
    </w:p>
    <w:p>
      <w:pPr>
        <w:spacing w:line="360" w:lineRule="auto" w:after="40"/>
        <w:ind w:firstLine="420"/>
      </w:pPr>
      <w:r>
        <w:t>用每月收入购买虚拟货币属于资金来源可解释、与客户已知财富匹配的常规行为，教材未将其列为风险指标，因此相比于明确涉及混币器或不明资金的行为，它更不构成危险信号。</w:t>
      </w:r>
    </w:p>
    <w:p>
      <w:pPr>
        <w:spacing w:before="120" w:after="40"/>
      </w:pPr>
      <w:r>
        <w:rPr>
          <w:b/>
          <w:sz w:val="21"/>
          <w:shd w:fill="D6E4F0" w:val="clear"/>
        </w:rPr>
        <w:t>C项错误</w:t>
      </w:r>
    </w:p>
    <w:p>
      <w:pPr>
        <w:spacing w:line="360" w:lineRule="auto" w:after="40"/>
        <w:ind w:firstLine="420"/>
      </w:pPr>
      <w:r>
        <w:t>区块链去中心化的特点决定了交易不一定经过传统金融机构，机构不知情是技术常态而非异常；教材强调的危险信号聚焦于混币器使用和资金来源的合法性，而非机构是否知情，因此C项匹配度远低于A和D。</w:t>
      </w:r>
    </w:p>
    <w:p>
      <w:pPr>
        <w:spacing w:line="360" w:lineRule="auto" w:after="120"/>
      </w:pPr>
      <w:r/>
    </w:p>
    <w:p>
      <w:pPr>
        <w:spacing w:line="360" w:lineRule="auto" w:after="40"/>
      </w:pPr>
      <w:r>
        <w:t>13. 与使用哈瓦拉相关的金融犯罪风险可能源于：（选择两项。） ( )</w:t>
      </w:r>
    </w:p>
    <w:p>
      <w:pPr>
        <w:spacing w:line="360" w:lineRule="auto" w:after="20"/>
        <w:ind w:firstLine="283"/>
      </w:pPr>
      <w:r>
        <w:t>A. 由第三方程序管理人进行远程身份验证</w:t>
      </w:r>
    </w:p>
    <w:p>
      <w:pPr>
        <w:spacing w:line="360" w:lineRule="auto" w:after="20"/>
        <w:ind w:firstLine="283"/>
      </w:pPr>
      <w:r>
        <w:t>B. 高级政治人物大量使用哈瓦拉</w:t>
      </w:r>
    </w:p>
    <w:p>
      <w:pPr>
        <w:spacing w:line="360" w:lineRule="auto" w:after="20"/>
        <w:ind w:firstLine="283"/>
      </w:pPr>
      <w:r>
        <w:t>C. 交易被退回的风险增加</w:t>
      </w:r>
    </w:p>
    <w:p>
      <w:pPr>
        <w:spacing w:line="360" w:lineRule="auto" w:after="20"/>
        <w:ind w:firstLine="283"/>
      </w:pPr>
      <w:r>
        <w:t>D. 用于跨境交易的非正式网络，这些交易游离于正规银行体系之外</w:t>
      </w:r>
    </w:p>
    <w:p>
      <w:pPr>
        <w:spacing w:line="360" w:lineRule="auto" w:after="20"/>
        <w:ind w:firstLine="283"/>
      </w:pPr>
      <w:r>
        <w:t>E. 难以追踪交易的发起方、接收方以及来源</w:t>
      </w:r>
    </w:p>
    <w:p>
      <w:pPr>
        <w:spacing w:line="360" w:lineRule="auto" w:after="40"/>
      </w:pPr>
      <w:r>
        <w:t>答案:D、E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识别哈瓦拉作为替代性汇款系统的定义与固有特征</w:t>
      </w:r>
    </w:p>
    <w:p>
      <w:pPr>
        <w:spacing w:before="120" w:after="40"/>
      </w:pPr>
      <w:r>
        <w:rPr>
          <w:b/>
          <w:sz w:val="21"/>
          <w:shd w:fill="D6E4F0" w:val="clear"/>
        </w:rPr>
        <w:t>核心解析</w:t>
      </w:r>
    </w:p>
    <w:p>
      <w:pPr>
        <w:spacing w:line="360" w:lineRule="auto" w:after="40"/>
        <w:ind w:firstLine="420"/>
      </w:pPr>
      <w:r>
        <w:t>哈瓦拉是最知名的替代性汇款系统形式，指在正规银行体系之外进行国际价值转移的非正式网络</w:t>
      </w:r>
      <w:r>
        <w:rPr>
          <w:sz w:val="15"/>
          <w:vertAlign w:val="superscript"/>
        </w:rPr>
        <w:t>P133</w:t>
      </w:r>
      <w:r>
        <w:t>。该系统基于信任和债务安排，不依赖实际资金跨境流动，因此游离于法定报告要求之外。由此可推断，其金融犯罪风险直接源于两个固有特征：一是“用于跨境交易的非正式网络，这些交易游离于正规银行体系之外”，逃避了常规的监控和报告机制；二是“难以追踪交易的发起方、接收方以及来源”，因为交易通过经纪人的帐本和债务抵销完成，不留存标准银行记录，且教材指出哈瓦拉被不希望留下数字记录的个人利用</w:t>
      </w:r>
      <w:r>
        <w:rPr>
          <w:sz w:val="15"/>
          <w:vertAlign w:val="superscript"/>
        </w:rPr>
        <w:t>P134</w:t>
      </w:r>
      <w:r>
        <w:t>，并在实际案例中显示其通过非正式网络掩盖资金踪迹</w:t>
      </w:r>
      <w:r>
        <w:rPr>
          <w:sz w:val="15"/>
          <w:vertAlign w:val="superscript"/>
        </w:rPr>
        <w:t>P39</w:t>
      </w:r>
      <w:r>
        <w:t>。</w:t>
      </w:r>
    </w:p>
    <w:p>
      <w:pPr>
        <w:spacing w:before="120" w:after="40"/>
      </w:pPr>
      <w:r>
        <w:rPr>
          <w:b/>
          <w:sz w:val="21"/>
          <w:shd w:fill="D6E4F0" w:val="clear"/>
        </w:rPr>
        <w:t>教材原句</w:t>
      </w:r>
    </w:p>
    <w:p>
      <w:pPr>
        <w:spacing w:line="360" w:lineRule="auto" w:after="40"/>
        <w:ind w:firstLine="420"/>
      </w:pPr>
      <w:r>
        <w:t>"The best-known form of ARS is a hawala, an informal system involving the international transfer of value outside the legitimate banking system."</w:t>
      </w:r>
    </w:p>
    <w:p>
      <w:pPr>
        <w:spacing w:before="120" w:after="40"/>
      </w:pPr>
      <w:r>
        <w:rPr>
          <w:b/>
          <w:sz w:val="21"/>
          <w:shd w:fill="D6E4F0" w:val="clear"/>
        </w:rPr>
        <w:t>A项错误</w:t>
      </w:r>
    </w:p>
    <w:p>
      <w:pPr>
        <w:spacing w:line="360" w:lineRule="auto" w:after="40"/>
        <w:ind w:firstLine="420"/>
      </w:pPr>
      <w:r>
        <w:t>远程身份验证属于数字开户或监管科技的内容</w:t>
      </w:r>
      <w:r>
        <w:rPr>
          <w:sz w:val="15"/>
          <w:vertAlign w:val="superscript"/>
        </w:rPr>
        <w:t>P372</w:t>
      </w:r>
      <w:r>
        <w:t>，题干中的哈瓦拉是非正式汇款系统，不涉及正规金融机构的远程验证流程，题干更直接匹配哈瓦拉本身的结构性特征而非技术控制手段。</w:t>
      </w:r>
    </w:p>
    <w:p>
      <w:pPr>
        <w:spacing w:before="120" w:after="40"/>
      </w:pPr>
      <w:r>
        <w:rPr>
          <w:b/>
          <w:sz w:val="21"/>
          <w:shd w:fill="D6E4F0" w:val="clear"/>
        </w:rPr>
        <w:t>B项错误</w:t>
      </w:r>
    </w:p>
    <w:p>
      <w:pPr>
        <w:spacing w:line="360" w:lineRule="auto" w:after="40"/>
        <w:ind w:firstLine="420"/>
      </w:pPr>
      <w:r>
        <w:t>虽然政治敏感人物可能使用哈瓦拉，但教材定义哈瓦拉的风险时聚焦于其“游离于正规银行体系之外”和“不希望留下数字记录”的匿名性，而非特定使用者政治身份。正确项D、E直接来自哈瓦拉的系统机制，比“大量使用”这一使用者特征更具定义上的匹配度。</w:t>
      </w:r>
    </w:p>
    <w:p>
      <w:pPr>
        <w:spacing w:before="120" w:after="40"/>
      </w:pPr>
      <w:r>
        <w:rPr>
          <w:b/>
          <w:sz w:val="21"/>
          <w:shd w:fill="D6E4F0" w:val="clear"/>
        </w:rPr>
        <w:t>C项错误</w:t>
      </w:r>
    </w:p>
    <w:p>
      <w:pPr>
        <w:spacing w:line="360" w:lineRule="auto" w:after="40"/>
        <w:ind w:firstLine="420"/>
      </w:pPr>
      <w:r>
        <w:t>交易被退回的风险在教材中未见与哈瓦拉直接关联，哈瓦拉通过抵销和债务安排完成价值转移，通常不涉及资金被退回的标准流程。D、E从系统结构和追踪困难两个维度直接切中哈瓦拉的本质风险。</w:t>
      </w:r>
    </w:p>
    <w:p>
      <w:pPr>
        <w:spacing w:before="120" w:after="40"/>
      </w:pPr>
      <w:r>
        <w:rPr>
          <w:b/>
          <w:sz w:val="21"/>
          <w:shd w:fill="D6E4F0" w:val="clear"/>
        </w:rPr>
        <w:t>易错提醒</w:t>
      </w:r>
    </w:p>
    <w:p>
      <w:pPr>
        <w:spacing w:line="360" w:lineRule="auto" w:after="40"/>
        <w:ind w:firstLine="420"/>
      </w:pPr>
      <w:r>
        <w:t>容易误以为“大量使用”本身就是风险，但教材对哈瓦拉风险的界定立足于其非正式、游离于银行体系的网络结构以及由此产生的匿名性，而非使用者身份。区分标准：看选项描述的是系统自身的固有属性（非正式、难追踪），还是外部使用者的特征（如政治身份）。</w:t>
      </w:r>
    </w:p>
    <w:p>
      <w:pPr>
        <w:spacing w:line="360" w:lineRule="auto" w:after="120"/>
      </w:pPr>
      <w:r/>
    </w:p>
    <w:p>
      <w:pPr>
        <w:spacing w:line="360" w:lineRule="auto" w:after="40"/>
      </w:pPr>
      <w:r>
        <w:t>14. 与使用“哈瓦拉”相关的金融犯罪风险可能源于：（选择两项。） ( )</w:t>
      </w:r>
    </w:p>
    <w:p>
      <w:pPr>
        <w:spacing w:line="360" w:lineRule="auto" w:after="20"/>
        <w:ind w:firstLine="283"/>
      </w:pPr>
      <w:r>
        <w:t>A. 难以追踪交易的发起方、接收方和资金来源</w:t>
      </w:r>
    </w:p>
    <w:p>
      <w:pPr>
        <w:spacing w:line="360" w:lineRule="auto" w:after="20"/>
        <w:ind w:firstLine="283"/>
      </w:pPr>
      <w:r>
        <w:t>B. 由第三方程序管理员进行远程身份验证</w:t>
      </w:r>
    </w:p>
    <w:p>
      <w:pPr>
        <w:spacing w:line="360" w:lineRule="auto" w:after="20"/>
        <w:ind w:firstLine="283"/>
      </w:pPr>
      <w:r>
        <w:t>C. 高级政治人物的频繁使用</w:t>
      </w:r>
    </w:p>
    <w:p>
      <w:pPr>
        <w:spacing w:line="360" w:lineRule="auto" w:after="20"/>
        <w:ind w:firstLine="283"/>
      </w:pPr>
      <w:r>
        <w:t>D. 用于跨境交易的非正式网络，这些交易游离于正规银行体系之外</w:t>
      </w:r>
    </w:p>
    <w:p>
      <w:pPr>
        <w:spacing w:line="360" w:lineRule="auto" w:after="20"/>
        <w:ind w:firstLine="283"/>
      </w:pPr>
      <w:r>
        <w:t>E. 交易被退回的风险增加</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识别哈瓦拉因非正规性和匿名性带来的固有金融犯罪风险</w:t>
      </w:r>
    </w:p>
    <w:p>
      <w:pPr>
        <w:spacing w:before="120" w:after="40"/>
      </w:pPr>
      <w:r>
        <w:rPr>
          <w:b/>
          <w:sz w:val="21"/>
          <w:shd w:fill="D6E4F0" w:val="clear"/>
        </w:rPr>
        <w:t>核心解析</w:t>
      </w:r>
    </w:p>
    <w:p>
      <w:pPr>
        <w:spacing w:line="360" w:lineRule="auto" w:after="40"/>
        <w:ind w:firstLine="420"/>
      </w:pPr>
      <w:r>
        <w:t>哈瓦拉是替代性汇款系统（ARS）的最知名形式，指在正规银行体系之外进行跨境价值转移的非正式系统</w:t>
      </w:r>
      <w:r>
        <w:rPr>
          <w:sz w:val="15"/>
          <w:vertAlign w:val="superscript"/>
        </w:rPr>
        <w:t>P133</w:t>
      </w:r>
      <w:r>
        <w:t>。其运行依赖信任和债务安排，不产生数字记录，由此带来匿名性和可追踪性缺失。教材案例中，犯罪分子利用哈瓦拉经纪人进行跨境转账，通过非正规网络掩盖资金踪迹</w:t>
      </w:r>
      <w:r>
        <w:rPr>
          <w:sz w:val="15"/>
          <w:vertAlign w:val="superscript"/>
        </w:rPr>
        <w:t>P39</w:t>
      </w:r>
      <w:r>
        <w:t>；恐怖融资者也依赖哈瓦拉的匿名性向高风险地区转移资金</w:t>
      </w:r>
      <w:r>
        <w:rPr>
          <w:sz w:val="15"/>
          <w:vertAlign w:val="superscript"/>
        </w:rPr>
        <w:t>P134</w:t>
      </w:r>
      <w:r>
        <w:t>。选项A“难以追踪交易的发起方、接收方和资金来源”直接对应哈瓦拉不可追踪的特性；选项D“用于跨境交易的非正式网络，这些交易游离于正规银行体系之外”则对应哈瓦拉的定义本身——非正式、在正规银行体系外运行。因此，A和D是使用哈瓦拉最直接的金融犯罪风险来源。</w:t>
      </w:r>
    </w:p>
    <w:p>
      <w:pPr>
        <w:spacing w:before="120" w:after="40"/>
      </w:pPr>
      <w:r>
        <w:rPr>
          <w:b/>
          <w:sz w:val="21"/>
          <w:shd w:fill="D6E4F0" w:val="clear"/>
        </w:rPr>
        <w:t>教材原句</w:t>
      </w:r>
    </w:p>
    <w:p>
      <w:pPr>
        <w:spacing w:line="360" w:lineRule="auto" w:after="40"/>
        <w:ind w:firstLine="420"/>
      </w:pPr>
      <w:r>
        <w:t>"The best-known form of ARS is a hawala, an informal system involving the international transfer of value outside the legitimate banking system."</w:t>
      </w:r>
    </w:p>
    <w:p>
      <w:pPr>
        <w:spacing w:before="120" w:after="40"/>
      </w:pPr>
      <w:r>
        <w:rPr>
          <w:b/>
          <w:sz w:val="21"/>
          <w:shd w:fill="D6E4F0" w:val="clear"/>
        </w:rPr>
        <w:t>B项错误</w:t>
      </w:r>
    </w:p>
    <w:p>
      <w:pPr>
        <w:spacing w:line="360" w:lineRule="auto" w:after="40"/>
        <w:ind w:firstLine="420"/>
      </w:pPr>
      <w:r>
        <w:t>远程身份验证是金融机构在电子了解你的客户（eKYC）流程中采用的技术手段</w:t>
      </w:r>
      <w:r>
        <w:rPr>
          <w:sz w:val="15"/>
          <w:vertAlign w:val="superscript"/>
        </w:rPr>
        <w:t>P405</w:t>
      </w:r>
      <w:r>
        <w:t>，其风险多见于数字开户和合成身份场景，并不属于哈瓦拉本身固有的风险。教材对哈瓦拉风险的讨论集中在非正规性和难以追踪上，题干更支持A和D而非B。</w:t>
      </w:r>
    </w:p>
    <w:p>
      <w:pPr>
        <w:spacing w:before="120" w:after="40"/>
      </w:pPr>
      <w:r>
        <w:rPr>
          <w:b/>
          <w:sz w:val="21"/>
          <w:shd w:fill="D6E4F0" w:val="clear"/>
        </w:rPr>
        <w:t>C项错误</w:t>
      </w:r>
    </w:p>
    <w:p>
      <w:pPr>
        <w:spacing w:line="360" w:lineRule="auto" w:after="40"/>
        <w:ind w:firstLine="420"/>
      </w:pPr>
      <w:r>
        <w:t>教材列举哈瓦拉的常见用户群体为边缘化社区、不愿留下数字记录的个人以及恐怖融资者</w:t>
      </w:r>
      <w:r>
        <w:rPr>
          <w:sz w:val="15"/>
          <w:vertAlign w:val="superscript"/>
        </w:rPr>
        <w:t>P134</w:t>
      </w:r>
      <w:r>
        <w:t>，并未突出高级政治人物的频繁使用是哈瓦拉的典型风险。高级政治人物（PEP）风险更多与腐败、贿赂和利用名义人掩盖资产相关</w:t>
      </w:r>
      <w:r>
        <w:rPr>
          <w:sz w:val="15"/>
          <w:vertAlign w:val="superscript"/>
        </w:rPr>
        <w:t>P58</w:t>
      </w:r>
      <w:r>
        <w:t>，与哈瓦拉匿名性的直接匹配度不如选项A和D。</w:t>
      </w:r>
    </w:p>
    <w:p>
      <w:pPr>
        <w:spacing w:before="120" w:after="40"/>
      </w:pPr>
      <w:r>
        <w:rPr>
          <w:b/>
          <w:sz w:val="21"/>
          <w:shd w:fill="D6E4F0" w:val="clear"/>
        </w:rPr>
        <w:t>E项错误</w:t>
      </w:r>
    </w:p>
    <w:p>
      <w:pPr>
        <w:spacing w:line="360" w:lineRule="auto" w:after="40"/>
        <w:ind w:firstLine="420"/>
      </w:pPr>
      <w:r>
        <w:t>哈瓦拉交易基于信任和债务安排以等值货币跨境转移，而非传统汇款渠道，因此不被退回是其特征而非风险。教材未提及哈瓦拉存在交易退回风险，该选项在题干条件下缺乏证据支持。</w:t>
      </w:r>
    </w:p>
    <w:p>
      <w:pPr>
        <w:spacing w:before="120" w:after="40"/>
      </w:pPr>
      <w:r>
        <w:rPr>
          <w:b/>
          <w:sz w:val="21"/>
          <w:shd w:fill="D6E4F0" w:val="clear"/>
        </w:rPr>
        <w:t>易错提醒</w:t>
      </w:r>
    </w:p>
    <w:p>
      <w:pPr>
        <w:spacing w:line="360" w:lineRule="auto" w:after="40"/>
        <w:ind w:firstLine="420"/>
      </w:pPr>
      <w:r>
        <w:t>注意区分哈瓦拉与受监管的货币服务企业（MSB）。教材明确指出，MSB受银行体系监管，而哈瓦拉是非正式且基本不受监管的</w:t>
      </w:r>
      <w:r>
        <w:rPr>
          <w:sz w:val="15"/>
          <w:vertAlign w:val="superscript"/>
        </w:rPr>
        <w:t>P94</w:t>
      </w:r>
      <w:r>
        <w:t>。远程身份验证、交易退回等技术性和操作性的风险更常见于受监管的支付体系，而非哈瓦拉这类非正规网络。</w:t>
      </w:r>
    </w:p>
    <w:p>
      <w:pPr>
        <w:spacing w:line="360" w:lineRule="auto" w:after="120"/>
      </w:pPr>
      <w:r/>
    </w:p>
    <w:p>
      <w:pPr>
        <w:spacing w:line="360" w:lineRule="auto" w:after="40"/>
      </w:pPr>
      <w:r>
        <w:t>15. 以下哪些情况会导致政治公众人物(PEP)比一般高风险银行客户带来更大的风险？(选择两项.) ( )</w:t>
      </w:r>
    </w:p>
    <w:p>
      <w:pPr>
        <w:spacing w:line="360" w:lineRule="auto" w:after="20"/>
        <w:ind w:firstLine="283"/>
      </w:pPr>
      <w:r>
        <w:t>A. 政治公众人物的家庭成员和密切关系人可能会参与非法活动.</w:t>
      </w:r>
    </w:p>
    <w:p>
      <w:pPr>
        <w:spacing w:line="360" w:lineRule="auto" w:after="20"/>
        <w:ind w:firstLine="283"/>
      </w:pPr>
      <w:r>
        <w:t>B. 根据国际银行业规定,政治公众人物可获得无限制的信贷和金融豁免.</w:t>
      </w:r>
    </w:p>
    <w:p>
      <w:pPr>
        <w:spacing w:line="360" w:lineRule="auto" w:after="20"/>
        <w:ind w:firstLine="283"/>
      </w:pPr>
      <w:r>
        <w:t>C. 政治公众人物可能会利用使馆活动来掩盖贿赂和腐败交易.</w:t>
      </w:r>
    </w:p>
    <w:p>
      <w:pPr>
        <w:spacing w:line="360" w:lineRule="auto" w:after="20"/>
        <w:ind w:firstLine="283"/>
      </w:pPr>
      <w:r>
        <w:t>D. 但其账户不会因超出银行风险承受能力的活动而被合法关闭.</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 PEP 风险来源：家庭成员/关联人卷入与使馆外交掩护</w:t>
      </w:r>
    </w:p>
    <w:p>
      <w:pPr>
        <w:spacing w:before="120" w:after="40"/>
      </w:pPr>
      <w:r>
        <w:rPr>
          <w:b/>
          <w:sz w:val="21"/>
          <w:shd w:fill="D6E4F0" w:val="clear"/>
        </w:rPr>
        <w:t>核心解析</w:t>
      </w:r>
    </w:p>
    <w:p>
      <w:pPr>
        <w:spacing w:line="360" w:lineRule="auto" w:after="40"/>
        <w:ind w:firstLine="420"/>
      </w:pPr>
      <w:r>
        <w:t>政治敏感人物（PEP）指担任显要公职的个人及其直系亲属或密切关联人，可能面临更高的贿赂和腐败风险</w:t>
      </w:r>
      <w:r>
        <w:rPr>
          <w:sz w:val="15"/>
          <w:vertAlign w:val="superscript"/>
        </w:rPr>
        <w:t>P137</w:t>
      </w:r>
      <w:r>
        <w:t>。部分司法管辖区将 PEP 分类扩展至家庭成员和密切关联人，因其可能间接参与金融犯罪</w:t>
      </w:r>
      <w:r>
        <w:rPr>
          <w:sz w:val="15"/>
          <w:vertAlign w:val="superscript"/>
        </w:rPr>
        <w:t>P320</w:t>
      </w:r>
      <w:r>
        <w:t>。同时，大使馆和外交使团享有特权和豁免，可被用于洗钱——外交身份能屏蔽审查，使非法资金在外交活动伪装下流动</w:t>
      </w:r>
      <w:r>
        <w:rPr>
          <w:sz w:val="15"/>
          <w:vertAlign w:val="superscript"/>
        </w:rPr>
        <w:t>P82</w:t>
      </w:r>
      <w:r>
        <w:t>。题干问 PEP 比一般高风险客户风险更大的条件。选项 A 直接对应 PEP 定义涵盖家庭成员和密切关联人，以及他们潜在的非法活动参与，风险超出一般仅因洗钱记录入列的高风险客户。选项 C 对应使馆可以通过外交管道掩盖贿赂和腐败交易，这一风险源是 PEP 身份+使馆角色特有的，比普通高风险客户涉及的结构性洗钱更隐蔽、更难调查。因此 A、C 与教材对 PEP 特殊风险渠道的陈述高度吻合。</w:t>
      </w:r>
    </w:p>
    <w:p>
      <w:pPr>
        <w:spacing w:before="120" w:after="40"/>
      </w:pPr>
      <w:r>
        <w:rPr>
          <w:b/>
          <w:sz w:val="21"/>
          <w:shd w:fill="D6E4F0" w:val="clear"/>
        </w:rPr>
        <w:t>教材原句</w:t>
      </w:r>
    </w:p>
    <w:p>
      <w:pPr>
        <w:spacing w:line="360" w:lineRule="auto" w:after="40"/>
        <w:ind w:firstLine="420"/>
      </w:pPr>
      <w:r>
        <w:t>"A PEP is an individual in a prominent political function, or their immediate family or close associates, who could be at higher risk for involvement in bribery and corruption."</w:t>
      </w:r>
    </w:p>
    <w:p>
      <w:pPr>
        <w:spacing w:before="120" w:after="40"/>
      </w:pPr>
      <w:r>
        <w:rPr>
          <w:b/>
          <w:sz w:val="21"/>
          <w:shd w:fill="D6E4F0" w:val="clear"/>
        </w:rPr>
        <w:t>B项错误</w:t>
      </w:r>
    </w:p>
    <w:p>
      <w:pPr>
        <w:spacing w:line="360" w:lineRule="auto" w:after="40"/>
        <w:ind w:firstLine="420"/>
      </w:pPr>
      <w:r>
        <w:t>教材规定对 PEP 等高风险客户应实施强化尽职调查</w:t>
      </w:r>
      <w:r>
        <w:rPr>
          <w:sz w:val="15"/>
          <w:vertAlign w:val="superscript"/>
        </w:rPr>
        <w:t>P201</w:t>
      </w:r>
      <w:r>
        <w:t>，而非授予无限制信贷和金融豁免。B 项描述与国际反洗钱监管框架相反，题干缺乏支持该说法的信息，相较而言 A 和 C 更匹配教材对 PEP 风险的定义。</w:t>
      </w:r>
    </w:p>
    <w:p>
      <w:pPr>
        <w:spacing w:before="120" w:after="40"/>
      </w:pPr>
      <w:r>
        <w:rPr>
          <w:b/>
          <w:sz w:val="21"/>
          <w:shd w:fill="D6E4F0" w:val="clear"/>
        </w:rPr>
        <w:t>D项错误</w:t>
      </w:r>
    </w:p>
    <w:p>
      <w:pPr>
        <w:spacing w:line="360" w:lineRule="auto" w:after="40"/>
        <w:ind w:firstLine="420"/>
      </w:pPr>
      <w:r>
        <w:t>教材要求机构根据风险偏好调整监控并升级处理</w:t>
      </w:r>
      <w:r>
        <w:rPr>
          <w:sz w:val="15"/>
          <w:vertAlign w:val="superscript"/>
        </w:rPr>
        <w:t>P58</w:t>
      </w:r>
      <w:r>
        <w:t>，并未声明 PEP 的账户受法律保护不得关闭。在某些司法管辖区关系难以终止</w:t>
      </w:r>
      <w:r>
        <w:rPr>
          <w:sz w:val="15"/>
          <w:vertAlign w:val="superscript"/>
        </w:rPr>
        <w:t>P357</w:t>
      </w:r>
      <w:r>
        <w:t>，但这并非 PEP 特有，也非法律豁免。相比之下，A 和 C 直接对应教材总结的 PEP 特有风险渠道，更贴合题干所问的“导致更大风险”的条件。</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